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0E1319" w:rsidRDefault="00AF321A" w:rsidP="00D51089">
      <w:pPr>
        <w:pStyle w:val="REG-H1a"/>
      </w:pPr>
      <w:r w:rsidRPr="000E1319">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0E1319" w:rsidRDefault="00D2019F" w:rsidP="00682D07">
      <w:pPr>
        <w:pStyle w:val="REG-H1d"/>
        <w:rPr>
          <w:lang w:val="en-GB"/>
        </w:rPr>
      </w:pPr>
      <w:r w:rsidRPr="000E1319">
        <w:rPr>
          <w:lang w:val="en-GB"/>
        </w:rPr>
        <w:t>REGULATIONS MADE IN TERMS OF</w:t>
      </w:r>
    </w:p>
    <w:p w14:paraId="0B499432" w14:textId="77777777" w:rsidR="00E2335D" w:rsidRPr="000E1319" w:rsidRDefault="00E2335D" w:rsidP="00BD2B69">
      <w:pPr>
        <w:pStyle w:val="REG-H1d"/>
        <w:rPr>
          <w:lang w:val="en-GB"/>
        </w:rPr>
      </w:pPr>
    </w:p>
    <w:p w14:paraId="20C6F2F2" w14:textId="77777777" w:rsidR="00E2335D" w:rsidRPr="000E1319" w:rsidRDefault="008246B9" w:rsidP="00E2335D">
      <w:pPr>
        <w:pStyle w:val="REG-H1a"/>
      </w:pPr>
      <w:r w:rsidRPr="000E1319">
        <w:t>Communications Act 8 of 2009</w:t>
      </w:r>
    </w:p>
    <w:p w14:paraId="0B62EAE9" w14:textId="4F9BC7A6" w:rsidR="00BD2B69" w:rsidRDefault="00426AED" w:rsidP="009D0C49">
      <w:pPr>
        <w:pStyle w:val="REG-H1b"/>
        <w:rPr>
          <w:b w:val="0"/>
        </w:rPr>
      </w:pPr>
      <w:r>
        <w:rPr>
          <w:b w:val="0"/>
        </w:rPr>
        <w:t>s</w:t>
      </w:r>
      <w:r w:rsidR="009D0C49" w:rsidRPr="000E1319">
        <w:rPr>
          <w:b w:val="0"/>
        </w:rPr>
        <w:t>ection</w:t>
      </w:r>
      <w:r w:rsidR="00572320">
        <w:rPr>
          <w:b w:val="0"/>
        </w:rPr>
        <w:t>s 38(5), 101 and 129</w:t>
      </w:r>
    </w:p>
    <w:p w14:paraId="6CDA9A93" w14:textId="77777777" w:rsidR="00E2335D" w:rsidRPr="000E1319" w:rsidRDefault="00E2335D" w:rsidP="00E2335D">
      <w:pPr>
        <w:pStyle w:val="REG-H1a"/>
        <w:pBdr>
          <w:bottom w:val="single" w:sz="4" w:space="1" w:color="auto"/>
        </w:pBdr>
      </w:pPr>
    </w:p>
    <w:p w14:paraId="1968E082" w14:textId="77777777" w:rsidR="00E2335D" w:rsidRPr="000E1319" w:rsidRDefault="00E2335D" w:rsidP="00E2335D">
      <w:pPr>
        <w:pStyle w:val="REG-H1a"/>
      </w:pPr>
    </w:p>
    <w:p w14:paraId="739CB6C8" w14:textId="2B8A5D72" w:rsidR="009222B8" w:rsidRDefault="009222B8" w:rsidP="009222B8">
      <w:pPr>
        <w:pStyle w:val="REG-H1b"/>
      </w:pPr>
      <w:r>
        <w:t>Regulations Setting out Fees for</w:t>
      </w:r>
    </w:p>
    <w:p w14:paraId="065B6199" w14:textId="1A9222C7" w:rsidR="00AC7AC8" w:rsidRPr="000E1319" w:rsidRDefault="009222B8" w:rsidP="009222B8">
      <w:pPr>
        <w:pStyle w:val="REG-H1b"/>
      </w:pPr>
      <w:r>
        <w:t>Spectrum Licences, Certificates and Examinations</w:t>
      </w:r>
    </w:p>
    <w:p w14:paraId="061F3FB4" w14:textId="169B5D8F" w:rsidR="00D2019F" w:rsidRPr="000E1319" w:rsidRDefault="00BD2B69" w:rsidP="00C838EC">
      <w:pPr>
        <w:pStyle w:val="REG-H1d"/>
        <w:rPr>
          <w:lang w:val="en-GB"/>
        </w:rPr>
      </w:pPr>
      <w:r w:rsidRPr="000E1319">
        <w:rPr>
          <w:lang w:val="en-GB"/>
        </w:rPr>
        <w:t>G</w:t>
      </w:r>
      <w:r w:rsidR="001411FC" w:rsidRPr="000E1319">
        <w:rPr>
          <w:lang w:val="en-GB"/>
        </w:rPr>
        <w:t xml:space="preserve">eneral </w:t>
      </w:r>
      <w:r w:rsidRPr="000E1319">
        <w:rPr>
          <w:lang w:val="en-GB"/>
        </w:rPr>
        <w:t xml:space="preserve">Notice </w:t>
      </w:r>
      <w:r w:rsidR="002A0725">
        <w:rPr>
          <w:lang w:val="en-GB"/>
        </w:rPr>
        <w:t>4</w:t>
      </w:r>
      <w:r w:rsidR="00CA23DC" w:rsidRPr="000E1319">
        <w:rPr>
          <w:lang w:val="en-GB"/>
        </w:rPr>
        <w:t>1</w:t>
      </w:r>
      <w:r w:rsidR="00AE25FD">
        <w:rPr>
          <w:lang w:val="en-GB"/>
        </w:rPr>
        <w:t>7</w:t>
      </w:r>
      <w:r w:rsidR="002A0725">
        <w:rPr>
          <w:lang w:val="en-GB"/>
        </w:rPr>
        <w:t xml:space="preserve"> of 2020</w:t>
      </w:r>
    </w:p>
    <w:p w14:paraId="290923CD" w14:textId="77777777" w:rsidR="00312031" w:rsidRPr="0059506E" w:rsidRDefault="00312031" w:rsidP="00312031">
      <w:pPr>
        <w:pStyle w:val="REG-Amend"/>
      </w:pPr>
      <w:r w:rsidRPr="0059506E">
        <w:t>(</w:t>
      </w:r>
      <w:hyperlink r:id="rId9" w:history="1">
        <w:r w:rsidRPr="0059506E">
          <w:rPr>
            <w:rStyle w:val="Hyperlink"/>
            <w:rFonts w:cs="Arial"/>
          </w:rPr>
          <w:t>GG 7359</w:t>
        </w:r>
      </w:hyperlink>
      <w:r w:rsidRPr="0059506E">
        <w:t>)</w:t>
      </w:r>
    </w:p>
    <w:p w14:paraId="3F614FD8" w14:textId="37DB0413" w:rsidR="003013D8" w:rsidRPr="000E1319" w:rsidRDefault="002A0725" w:rsidP="003013D8">
      <w:pPr>
        <w:pStyle w:val="REG-Amend"/>
      </w:pPr>
      <w:r>
        <w:t xml:space="preserve">came into force on </w:t>
      </w:r>
      <w:r w:rsidR="00B9094E" w:rsidRPr="00B9094E">
        <w:rPr>
          <w:lang w:val="en-ZA"/>
        </w:rPr>
        <w:t>1 January 2021</w:t>
      </w:r>
      <w:r w:rsidR="00B9094E">
        <w:rPr>
          <w:lang w:val="en-ZA"/>
        </w:rPr>
        <w:t xml:space="preserve"> (reg</w:t>
      </w:r>
      <w:r w:rsidR="00B40258">
        <w:rPr>
          <w:lang w:val="en-ZA"/>
        </w:rPr>
        <w:t>ulation</w:t>
      </w:r>
      <w:r w:rsidR="00B9094E">
        <w:rPr>
          <w:lang w:val="en-ZA"/>
        </w:rPr>
        <w:t xml:space="preserve"> 7)</w:t>
      </w:r>
    </w:p>
    <w:p w14:paraId="6B93F3EA" w14:textId="77777777" w:rsidR="001411FC" w:rsidRPr="000E1319" w:rsidRDefault="001411FC" w:rsidP="003013D8">
      <w:pPr>
        <w:pStyle w:val="REG-Amend"/>
      </w:pPr>
    </w:p>
    <w:p w14:paraId="7CC21C64" w14:textId="7361573F" w:rsidR="002A0725" w:rsidRDefault="001411FC" w:rsidP="002A0725">
      <w:pPr>
        <w:pStyle w:val="REG-Amend"/>
      </w:pPr>
      <w:r w:rsidRPr="000E1319">
        <w:t>These regulations were made by the Communications Regulatory Authority of Namibia.</w:t>
      </w:r>
      <w:r w:rsidR="00312031">
        <w:t xml:space="preserve"> </w:t>
      </w:r>
      <w:r w:rsidR="00312031">
        <w:br/>
      </w:r>
      <w:r w:rsidR="002A0725">
        <w:t xml:space="preserve">General Notice 417/2020 repeals the </w:t>
      </w:r>
      <w:r w:rsidR="00662F03">
        <w:t xml:space="preserve">previous </w:t>
      </w:r>
      <w:r w:rsidR="002A0725" w:rsidRPr="002A0725">
        <w:t>Regulations Setting out Fees for</w:t>
      </w:r>
      <w:r w:rsidR="002A0725">
        <w:t xml:space="preserve"> </w:t>
      </w:r>
      <w:r w:rsidR="002A0725" w:rsidRPr="002A0725">
        <w:t>Spectrum Licences, Certificates and Examinations</w:t>
      </w:r>
      <w:r w:rsidR="002A0725">
        <w:t xml:space="preserve"> contained in </w:t>
      </w:r>
      <w:r w:rsidR="002A0725" w:rsidRPr="002A0725">
        <w:t>General Notice 155</w:t>
      </w:r>
      <w:r w:rsidR="002A0725">
        <w:t>/</w:t>
      </w:r>
      <w:r w:rsidR="002A0725" w:rsidRPr="002A0725">
        <w:t>2017</w:t>
      </w:r>
      <w:r w:rsidR="002A0725">
        <w:t xml:space="preserve"> </w:t>
      </w:r>
      <w:r w:rsidR="002A0725" w:rsidRPr="002A0725">
        <w:t>(</w:t>
      </w:r>
      <w:hyperlink r:id="rId10" w:history="1">
        <w:r w:rsidR="00312031" w:rsidRPr="00704C56">
          <w:rPr>
            <w:rStyle w:val="Hyperlink"/>
            <w:bCs/>
          </w:rPr>
          <w:t>GG 6322</w:t>
        </w:r>
      </w:hyperlink>
      <w:r w:rsidR="002A0725" w:rsidRPr="002A0725">
        <w:t>)</w:t>
      </w:r>
      <w:r w:rsidR="002A0725">
        <w:t xml:space="preserve"> </w:t>
      </w:r>
      <w:r w:rsidR="00662F03">
        <w:br/>
      </w:r>
      <w:r w:rsidR="002A0725">
        <w:t xml:space="preserve">with effect from 1 January 2021. </w:t>
      </w:r>
    </w:p>
    <w:p w14:paraId="2E68AF68" w14:textId="77777777" w:rsidR="00312031" w:rsidRDefault="00312031" w:rsidP="00312031">
      <w:pPr>
        <w:pStyle w:val="REG-H1c"/>
      </w:pPr>
    </w:p>
    <w:p w14:paraId="011DF390" w14:textId="77777777" w:rsidR="00312031" w:rsidRPr="00A42E97" w:rsidRDefault="00312031" w:rsidP="00312031">
      <w:pPr>
        <w:pStyle w:val="REG-H1c"/>
        <w:rPr>
          <w:rStyle w:val="REG-AmendChar"/>
          <w:rFonts w:eastAsia="Calibri"/>
        </w:rPr>
      </w:pPr>
      <w:r w:rsidRPr="008B3E93">
        <w:rPr>
          <w:color w:val="00B050"/>
        </w:rPr>
        <w:t xml:space="preserve">as </w:t>
      </w:r>
      <w:r>
        <w:rPr>
          <w:color w:val="00B050"/>
        </w:rPr>
        <w:t xml:space="preserve">amended </w:t>
      </w:r>
      <w:r w:rsidRPr="008B3E93">
        <w:rPr>
          <w:color w:val="00B050"/>
        </w:rPr>
        <w:t>by</w:t>
      </w:r>
    </w:p>
    <w:p w14:paraId="7515996D" w14:textId="77777777" w:rsidR="00312031" w:rsidRDefault="00312031" w:rsidP="00312031">
      <w:pPr>
        <w:pStyle w:val="REG-H1c"/>
      </w:pPr>
    </w:p>
    <w:p w14:paraId="58ABDAB1" w14:textId="77777777" w:rsidR="00312031" w:rsidRPr="00321D0B" w:rsidRDefault="00312031" w:rsidP="00312031">
      <w:pPr>
        <w:pStyle w:val="REG-H1c"/>
        <w:rPr>
          <w:lang w:val="en-ZA"/>
        </w:rPr>
      </w:pPr>
      <w:r>
        <w:rPr>
          <w:lang w:val="en-ZA"/>
        </w:rPr>
        <w:t>General</w:t>
      </w:r>
      <w:r w:rsidRPr="00321D0B">
        <w:rPr>
          <w:lang w:val="en-ZA"/>
        </w:rPr>
        <w:t xml:space="preserve"> Notice </w:t>
      </w:r>
      <w:r>
        <w:rPr>
          <w:lang w:val="en-ZA"/>
        </w:rPr>
        <w:t>738</w:t>
      </w:r>
      <w:r w:rsidRPr="00321D0B">
        <w:rPr>
          <w:lang w:val="en-ZA"/>
        </w:rPr>
        <w:t xml:space="preserve"> of </w:t>
      </w:r>
      <w:r>
        <w:rPr>
          <w:lang w:val="en-ZA"/>
        </w:rPr>
        <w:t>2023</w:t>
      </w:r>
      <w:r w:rsidRPr="00321D0B">
        <w:rPr>
          <w:lang w:val="en-ZA"/>
        </w:rPr>
        <w:t xml:space="preserve"> </w:t>
      </w:r>
      <w:r w:rsidRPr="00321D0B">
        <w:rPr>
          <w:rStyle w:val="REG-AmendChar"/>
          <w:rFonts w:eastAsia="Calibri"/>
          <w:b/>
        </w:rPr>
        <w:t>(</w:t>
      </w:r>
      <w:hyperlink r:id="rId11" w:history="1">
        <w:r>
          <w:rPr>
            <w:rStyle w:val="Hyperlink"/>
            <w:szCs w:val="18"/>
            <w:lang w:val="en-ZA"/>
          </w:rPr>
          <w:t>GG 8251</w:t>
        </w:r>
      </w:hyperlink>
      <w:r w:rsidRPr="00321D0B">
        <w:rPr>
          <w:rStyle w:val="REG-AmendChar"/>
          <w:rFonts w:eastAsia="Calibri"/>
          <w:b/>
        </w:rPr>
        <w:t>)</w:t>
      </w:r>
    </w:p>
    <w:p w14:paraId="168B9653" w14:textId="472EF776" w:rsidR="00312031" w:rsidRPr="002A0725" w:rsidRDefault="00312031" w:rsidP="00ED2338">
      <w:pPr>
        <w:pStyle w:val="REG-Amend"/>
      </w:pPr>
      <w:r w:rsidRPr="00321D0B">
        <w:t xml:space="preserve">came into force on </w:t>
      </w:r>
      <w:r>
        <w:t>date of publication: 6 November 2023</w:t>
      </w:r>
    </w:p>
    <w:p w14:paraId="6643D4B1" w14:textId="77777777" w:rsidR="005955EA" w:rsidRPr="000E1319" w:rsidRDefault="005955EA" w:rsidP="0087487C">
      <w:pPr>
        <w:pStyle w:val="REG-H1a"/>
        <w:pBdr>
          <w:bottom w:val="single" w:sz="4" w:space="1" w:color="auto"/>
        </w:pBdr>
      </w:pPr>
    </w:p>
    <w:p w14:paraId="53437AD8" w14:textId="49915A69" w:rsidR="001121EE" w:rsidRPr="000E1319" w:rsidRDefault="001121EE" w:rsidP="0087487C">
      <w:pPr>
        <w:pStyle w:val="REG-H1a"/>
      </w:pPr>
    </w:p>
    <w:p w14:paraId="68464DAD" w14:textId="3DC644F2" w:rsidR="0075276D" w:rsidRPr="00FC54C0" w:rsidRDefault="0075276D" w:rsidP="00DE6292">
      <w:pPr>
        <w:pStyle w:val="REG-H2"/>
      </w:pPr>
      <w:r w:rsidRPr="00FC54C0">
        <w:t>ARRANGEMENT OF REGULATIONS</w:t>
      </w:r>
    </w:p>
    <w:p w14:paraId="3173C3E6" w14:textId="55C71ACC" w:rsidR="00565E93" w:rsidRPr="000E1319" w:rsidRDefault="00565E93" w:rsidP="00B04B1F">
      <w:pPr>
        <w:pStyle w:val="REG-P0"/>
      </w:pPr>
    </w:p>
    <w:p w14:paraId="1F93DDA5" w14:textId="75C5DD27" w:rsidR="00C01D52" w:rsidRPr="0080308B" w:rsidRDefault="00E72DBC" w:rsidP="0080308B">
      <w:pPr>
        <w:pStyle w:val="REG-P0"/>
        <w:rPr>
          <w:color w:val="00B050"/>
        </w:rPr>
      </w:pPr>
      <w:r w:rsidRPr="0080308B">
        <w:rPr>
          <w:color w:val="00B050"/>
        </w:rPr>
        <w:t>1.</w:t>
      </w:r>
      <w:r w:rsidRPr="0080308B">
        <w:rPr>
          <w:color w:val="00B050"/>
        </w:rPr>
        <w:tab/>
      </w:r>
      <w:r w:rsidR="00C01D52" w:rsidRPr="0080308B">
        <w:rPr>
          <w:color w:val="00B050"/>
        </w:rPr>
        <w:t>Definitions</w:t>
      </w:r>
    </w:p>
    <w:p w14:paraId="0C466607" w14:textId="37655C08" w:rsidR="00E72DBC" w:rsidRPr="00142766" w:rsidRDefault="00E72DBC" w:rsidP="0080308B">
      <w:pPr>
        <w:pStyle w:val="REG-P0"/>
        <w:rPr>
          <w:color w:val="00B050"/>
        </w:rPr>
      </w:pPr>
      <w:r w:rsidRPr="0080308B">
        <w:rPr>
          <w:color w:val="00B050"/>
        </w:rPr>
        <w:t>2.</w:t>
      </w:r>
      <w:r w:rsidRPr="0080308B">
        <w:rPr>
          <w:color w:val="00B050"/>
        </w:rPr>
        <w:tab/>
      </w:r>
      <w:r w:rsidR="00C64009" w:rsidRPr="00C64009">
        <w:rPr>
          <w:bCs/>
          <w:color w:val="00B050"/>
          <w:lang w:val="en-ZA"/>
        </w:rPr>
        <w:t>Objects and application of Regulations</w:t>
      </w:r>
    </w:p>
    <w:p w14:paraId="151F7035" w14:textId="08F9C2D0" w:rsidR="0080308B" w:rsidRPr="00142766" w:rsidRDefault="0080308B" w:rsidP="0080308B">
      <w:pPr>
        <w:pStyle w:val="REG-P0"/>
        <w:rPr>
          <w:color w:val="00B050"/>
        </w:rPr>
      </w:pPr>
      <w:r w:rsidRPr="00142766">
        <w:rPr>
          <w:color w:val="00B050"/>
        </w:rPr>
        <w:t>3.</w:t>
      </w:r>
      <w:r w:rsidRPr="00142766">
        <w:rPr>
          <w:color w:val="00B050"/>
        </w:rPr>
        <w:tab/>
      </w:r>
      <w:r w:rsidR="00C64009" w:rsidRPr="00C64009">
        <w:rPr>
          <w:bCs/>
          <w:color w:val="00B050"/>
          <w:lang w:val="en-ZA"/>
        </w:rPr>
        <w:t>General provisions</w:t>
      </w:r>
    </w:p>
    <w:p w14:paraId="1D60529F" w14:textId="6BDF9A29" w:rsidR="0080308B" w:rsidRDefault="0080308B" w:rsidP="0080308B">
      <w:pPr>
        <w:pStyle w:val="REG-P0"/>
        <w:rPr>
          <w:bCs/>
          <w:color w:val="00B050"/>
          <w:lang w:val="en-ZA"/>
        </w:rPr>
      </w:pPr>
      <w:r w:rsidRPr="00142766">
        <w:rPr>
          <w:color w:val="00B050"/>
        </w:rPr>
        <w:t>4.</w:t>
      </w:r>
      <w:r w:rsidRPr="00142766">
        <w:rPr>
          <w:color w:val="00B050"/>
        </w:rPr>
        <w:tab/>
      </w:r>
      <w:r w:rsidR="00C64009" w:rsidRPr="00C64009">
        <w:rPr>
          <w:bCs/>
          <w:color w:val="00B050"/>
          <w:lang w:val="en-ZA"/>
        </w:rPr>
        <w:t>Flat fees relating to spectrum licence, certificate or examination</w:t>
      </w:r>
    </w:p>
    <w:p w14:paraId="7C2A0171" w14:textId="234EB293" w:rsidR="00C64009" w:rsidRDefault="00C64009" w:rsidP="0080308B">
      <w:pPr>
        <w:pStyle w:val="REG-P0"/>
        <w:rPr>
          <w:bCs/>
          <w:color w:val="00B050"/>
          <w:lang w:val="en-ZA"/>
        </w:rPr>
      </w:pPr>
      <w:r>
        <w:rPr>
          <w:bCs/>
          <w:color w:val="00B050"/>
          <w:lang w:val="en-ZA"/>
        </w:rPr>
        <w:t>5.</w:t>
      </w:r>
      <w:r>
        <w:rPr>
          <w:bCs/>
          <w:color w:val="00B050"/>
          <w:lang w:val="en-ZA"/>
        </w:rPr>
        <w:tab/>
        <w:t xml:space="preserve">Formula-based fees </w:t>
      </w:r>
    </w:p>
    <w:p w14:paraId="1D2569E7" w14:textId="57864940" w:rsidR="00B9094E" w:rsidRDefault="00B9094E" w:rsidP="0080308B">
      <w:pPr>
        <w:pStyle w:val="REG-P0"/>
        <w:rPr>
          <w:bCs/>
          <w:color w:val="00B050"/>
          <w:lang w:val="en-ZA"/>
        </w:rPr>
      </w:pPr>
      <w:r>
        <w:rPr>
          <w:bCs/>
          <w:color w:val="00B050"/>
          <w:lang w:val="en-ZA"/>
        </w:rPr>
        <w:t>6.</w:t>
      </w:r>
      <w:r>
        <w:rPr>
          <w:bCs/>
          <w:color w:val="00B050"/>
          <w:lang w:val="en-ZA"/>
        </w:rPr>
        <w:tab/>
      </w:r>
      <w:r w:rsidR="00386C07" w:rsidRPr="00386C07">
        <w:rPr>
          <w:rStyle w:val="REG-AmendChar"/>
        </w:rPr>
        <w:t>[deleted]</w:t>
      </w:r>
    </w:p>
    <w:p w14:paraId="65FB0E2F" w14:textId="2BCC701A" w:rsidR="00C64009" w:rsidRDefault="00B9094E" w:rsidP="00C64009">
      <w:pPr>
        <w:autoSpaceDE w:val="0"/>
        <w:autoSpaceDN w:val="0"/>
        <w:adjustRightInd w:val="0"/>
        <w:rPr>
          <w:bCs/>
          <w:color w:val="00B050"/>
          <w:lang w:val="en-ZA"/>
        </w:rPr>
      </w:pPr>
      <w:r>
        <w:rPr>
          <w:color w:val="00B050"/>
        </w:rPr>
        <w:t>7.</w:t>
      </w:r>
      <w:r>
        <w:rPr>
          <w:color w:val="00B050"/>
        </w:rPr>
        <w:tab/>
      </w:r>
      <w:r w:rsidRPr="00B9094E">
        <w:rPr>
          <w:bCs/>
          <w:color w:val="00B050"/>
          <w:lang w:val="en-ZA"/>
        </w:rPr>
        <w:t>Commencement</w:t>
      </w:r>
    </w:p>
    <w:p w14:paraId="5CF56EAF" w14:textId="416ADA2F" w:rsidR="00B9094E" w:rsidRDefault="00B9094E" w:rsidP="00C64009">
      <w:pPr>
        <w:autoSpaceDE w:val="0"/>
        <w:autoSpaceDN w:val="0"/>
        <w:adjustRightInd w:val="0"/>
        <w:rPr>
          <w:bCs/>
          <w:color w:val="00B050"/>
          <w:lang w:val="en-ZA"/>
        </w:rPr>
      </w:pPr>
    </w:p>
    <w:p w14:paraId="165D8E74" w14:textId="30234BE3" w:rsidR="00EB3C93" w:rsidRPr="00EB3C93" w:rsidRDefault="00B9094E" w:rsidP="00EB3C93">
      <w:pPr>
        <w:autoSpaceDE w:val="0"/>
        <w:autoSpaceDN w:val="0"/>
        <w:adjustRightInd w:val="0"/>
        <w:rPr>
          <w:rFonts w:ascii="TimesNewRomanPS-BoldMT" w:hAnsi="TimesNewRomanPS-BoldMT" w:cs="TimesNewRomanPS-BoldMT"/>
          <w:bCs/>
          <w:noProof w:val="0"/>
          <w:color w:val="00B050"/>
        </w:rPr>
      </w:pPr>
      <w:r w:rsidRPr="00F263E0">
        <w:rPr>
          <w:rFonts w:ascii="TimesNewRomanPS-BoldMT" w:hAnsi="TimesNewRomanPS-BoldMT" w:cs="TimesNewRomanPS-BoldMT"/>
          <w:bCs/>
          <w:noProof w:val="0"/>
          <w:color w:val="00B050"/>
          <w:lang w:val="en-ZA"/>
        </w:rPr>
        <w:t xml:space="preserve">ANNEXURE A </w:t>
      </w:r>
      <w:r w:rsidR="00EB3C93">
        <w:rPr>
          <w:rFonts w:ascii="TimesNewRomanPS-BoldMT" w:hAnsi="TimesNewRomanPS-BoldMT" w:cs="TimesNewRomanPS-BoldMT"/>
          <w:bCs/>
          <w:noProof w:val="0"/>
          <w:color w:val="00B050"/>
          <w:lang w:val="en-ZA"/>
        </w:rPr>
        <w:t xml:space="preserve">(from </w:t>
      </w:r>
      <w:r w:rsidR="00EB3C93" w:rsidRPr="00EB3C93">
        <w:rPr>
          <w:rFonts w:ascii="TimesNewRomanPS-BoldMT" w:hAnsi="TimesNewRomanPS-BoldMT" w:cs="TimesNewRomanPS-BoldMT"/>
          <w:bCs/>
          <w:noProof w:val="0"/>
          <w:color w:val="00B050"/>
        </w:rPr>
        <w:t>General Notice 417</w:t>
      </w:r>
      <w:r w:rsidR="00EB3C93">
        <w:rPr>
          <w:rFonts w:ascii="TimesNewRomanPS-BoldMT" w:hAnsi="TimesNewRomanPS-BoldMT" w:cs="TimesNewRomanPS-BoldMT"/>
          <w:bCs/>
          <w:noProof w:val="0"/>
          <w:color w:val="00B050"/>
        </w:rPr>
        <w:t>/</w:t>
      </w:r>
      <w:r w:rsidR="00EB3C93" w:rsidRPr="00EB3C93">
        <w:rPr>
          <w:rFonts w:ascii="TimesNewRomanPS-BoldMT" w:hAnsi="TimesNewRomanPS-BoldMT" w:cs="TimesNewRomanPS-BoldMT"/>
          <w:bCs/>
          <w:noProof w:val="0"/>
          <w:color w:val="00B050"/>
        </w:rPr>
        <w:t>2020</w:t>
      </w:r>
      <w:r w:rsidR="00EB3C93">
        <w:rPr>
          <w:rFonts w:ascii="TimesNewRomanPS-BoldMT" w:hAnsi="TimesNewRomanPS-BoldMT" w:cs="TimesNewRomanPS-BoldMT"/>
          <w:bCs/>
          <w:noProof w:val="0"/>
          <w:color w:val="00B050"/>
        </w:rPr>
        <w:t>)</w:t>
      </w:r>
    </w:p>
    <w:p w14:paraId="25420B04" w14:textId="77777777" w:rsidR="00BC726F" w:rsidRDefault="00BC726F" w:rsidP="00EB3C93">
      <w:pPr>
        <w:autoSpaceDE w:val="0"/>
        <w:autoSpaceDN w:val="0"/>
        <w:adjustRightInd w:val="0"/>
        <w:rPr>
          <w:rFonts w:ascii="TimesNewRomanPS-BoldMT" w:hAnsi="TimesNewRomanPS-BoldMT" w:cs="TimesNewRomanPS-BoldMT"/>
          <w:bCs/>
          <w:noProof w:val="0"/>
          <w:color w:val="00B050"/>
          <w:lang w:val="en-ZA"/>
        </w:rPr>
      </w:pPr>
    </w:p>
    <w:p w14:paraId="6D6A117D" w14:textId="153ECCC3" w:rsidR="00EB3C93" w:rsidRPr="00EB3C93" w:rsidRDefault="00EB3C93" w:rsidP="00EB3C93">
      <w:pPr>
        <w:autoSpaceDE w:val="0"/>
        <w:autoSpaceDN w:val="0"/>
        <w:adjustRightInd w:val="0"/>
        <w:rPr>
          <w:rFonts w:ascii="TimesNewRomanPS-BoldMT" w:hAnsi="TimesNewRomanPS-BoldMT" w:cs="TimesNewRomanPS-BoldMT"/>
          <w:bCs/>
          <w:noProof w:val="0"/>
          <w:color w:val="00B050"/>
        </w:rPr>
      </w:pPr>
      <w:r w:rsidRPr="00F263E0">
        <w:rPr>
          <w:rFonts w:ascii="TimesNewRomanPS-BoldMT" w:hAnsi="TimesNewRomanPS-BoldMT" w:cs="TimesNewRomanPS-BoldMT"/>
          <w:bCs/>
          <w:noProof w:val="0"/>
          <w:color w:val="00B050"/>
          <w:lang w:val="en-ZA"/>
        </w:rPr>
        <w:t xml:space="preserve">ANNEXURE A </w:t>
      </w:r>
      <w:r>
        <w:rPr>
          <w:rFonts w:ascii="TimesNewRomanPS-BoldMT" w:hAnsi="TimesNewRomanPS-BoldMT" w:cs="TimesNewRomanPS-BoldMT"/>
          <w:bCs/>
          <w:noProof w:val="0"/>
          <w:color w:val="00B050"/>
          <w:lang w:val="en-ZA"/>
        </w:rPr>
        <w:t xml:space="preserve">(from </w:t>
      </w:r>
      <w:r w:rsidRPr="00EB3C93">
        <w:rPr>
          <w:rFonts w:ascii="TimesNewRomanPS-BoldMT" w:hAnsi="TimesNewRomanPS-BoldMT" w:cs="TimesNewRomanPS-BoldMT"/>
          <w:bCs/>
          <w:noProof w:val="0"/>
          <w:color w:val="00B050"/>
        </w:rPr>
        <w:t xml:space="preserve">General Notice </w:t>
      </w:r>
      <w:r w:rsidR="00E710B8">
        <w:rPr>
          <w:rFonts w:ascii="TimesNewRomanPS-BoldMT" w:hAnsi="TimesNewRomanPS-BoldMT" w:cs="TimesNewRomanPS-BoldMT"/>
          <w:bCs/>
          <w:noProof w:val="0"/>
          <w:color w:val="00B050"/>
        </w:rPr>
        <w:t>738</w:t>
      </w:r>
      <w:r>
        <w:rPr>
          <w:rFonts w:ascii="TimesNewRomanPS-BoldMT" w:hAnsi="TimesNewRomanPS-BoldMT" w:cs="TimesNewRomanPS-BoldMT"/>
          <w:bCs/>
          <w:noProof w:val="0"/>
          <w:color w:val="00B050"/>
        </w:rPr>
        <w:t>/</w:t>
      </w:r>
      <w:r w:rsidRPr="00EB3C93">
        <w:rPr>
          <w:rFonts w:ascii="TimesNewRomanPS-BoldMT" w:hAnsi="TimesNewRomanPS-BoldMT" w:cs="TimesNewRomanPS-BoldMT"/>
          <w:bCs/>
          <w:noProof w:val="0"/>
          <w:color w:val="00B050"/>
        </w:rPr>
        <w:t>202</w:t>
      </w:r>
      <w:r w:rsidR="00E710B8">
        <w:rPr>
          <w:rFonts w:ascii="TimesNewRomanPS-BoldMT" w:hAnsi="TimesNewRomanPS-BoldMT" w:cs="TimesNewRomanPS-BoldMT"/>
          <w:bCs/>
          <w:noProof w:val="0"/>
          <w:color w:val="00B050"/>
        </w:rPr>
        <w:t>3</w:t>
      </w:r>
      <w:r>
        <w:rPr>
          <w:rFonts w:ascii="TimesNewRomanPS-BoldMT" w:hAnsi="TimesNewRomanPS-BoldMT" w:cs="TimesNewRomanPS-BoldMT"/>
          <w:bCs/>
          <w:noProof w:val="0"/>
          <w:color w:val="00B050"/>
        </w:rPr>
        <w:t>)</w:t>
      </w:r>
    </w:p>
    <w:p w14:paraId="00F29259" w14:textId="77777777" w:rsidR="00A012CE" w:rsidRPr="00EB3C93" w:rsidRDefault="00EB3C93" w:rsidP="00A012CE">
      <w:pPr>
        <w:autoSpaceDE w:val="0"/>
        <w:autoSpaceDN w:val="0"/>
        <w:adjustRightInd w:val="0"/>
        <w:rPr>
          <w:rFonts w:ascii="TimesNewRomanPS-BoldMT" w:hAnsi="TimesNewRomanPS-BoldMT" w:cs="TimesNewRomanPS-BoldMT"/>
          <w:bCs/>
          <w:noProof w:val="0"/>
          <w:color w:val="00B050"/>
        </w:rPr>
      </w:pPr>
      <w:r>
        <w:rPr>
          <w:rFonts w:ascii="TimesNewRomanPS-BoldMT" w:hAnsi="TimesNewRomanPS-BoldMT" w:cs="TimesNewRomanPS-BoldMT"/>
          <w:bCs/>
          <w:noProof w:val="0"/>
          <w:color w:val="00B050"/>
          <w:lang w:val="en-ZA"/>
        </w:rPr>
        <w:t>ANNEXURE B</w:t>
      </w:r>
      <w:r w:rsidR="00A012CE">
        <w:rPr>
          <w:rFonts w:ascii="TimesNewRomanPS-BoldMT" w:hAnsi="TimesNewRomanPS-BoldMT" w:cs="TimesNewRomanPS-BoldMT"/>
          <w:bCs/>
          <w:noProof w:val="0"/>
          <w:color w:val="00B050"/>
          <w:lang w:val="en-ZA"/>
        </w:rPr>
        <w:t xml:space="preserve"> </w:t>
      </w:r>
      <w:r w:rsidR="00A012CE">
        <w:rPr>
          <w:rFonts w:ascii="TimesNewRomanPS-BoldMT" w:hAnsi="TimesNewRomanPS-BoldMT" w:cs="TimesNewRomanPS-BoldMT"/>
          <w:bCs/>
          <w:noProof w:val="0"/>
          <w:color w:val="00B050"/>
          <w:lang w:val="en-ZA"/>
        </w:rPr>
        <w:t xml:space="preserve">(from </w:t>
      </w:r>
      <w:r w:rsidR="00A012CE" w:rsidRPr="00EB3C93">
        <w:rPr>
          <w:rFonts w:ascii="TimesNewRomanPS-BoldMT" w:hAnsi="TimesNewRomanPS-BoldMT" w:cs="TimesNewRomanPS-BoldMT"/>
          <w:bCs/>
          <w:noProof w:val="0"/>
          <w:color w:val="00B050"/>
        </w:rPr>
        <w:t xml:space="preserve">General Notice </w:t>
      </w:r>
      <w:r w:rsidR="00A012CE">
        <w:rPr>
          <w:rFonts w:ascii="TimesNewRomanPS-BoldMT" w:hAnsi="TimesNewRomanPS-BoldMT" w:cs="TimesNewRomanPS-BoldMT"/>
          <w:bCs/>
          <w:noProof w:val="0"/>
          <w:color w:val="00B050"/>
        </w:rPr>
        <w:t>738/</w:t>
      </w:r>
      <w:r w:rsidR="00A012CE" w:rsidRPr="00EB3C93">
        <w:rPr>
          <w:rFonts w:ascii="TimesNewRomanPS-BoldMT" w:hAnsi="TimesNewRomanPS-BoldMT" w:cs="TimesNewRomanPS-BoldMT"/>
          <w:bCs/>
          <w:noProof w:val="0"/>
          <w:color w:val="00B050"/>
        </w:rPr>
        <w:t>202</w:t>
      </w:r>
      <w:r w:rsidR="00A012CE">
        <w:rPr>
          <w:rFonts w:ascii="TimesNewRomanPS-BoldMT" w:hAnsi="TimesNewRomanPS-BoldMT" w:cs="TimesNewRomanPS-BoldMT"/>
          <w:bCs/>
          <w:noProof w:val="0"/>
          <w:color w:val="00B050"/>
        </w:rPr>
        <w:t>3)</w:t>
      </w:r>
    </w:p>
    <w:p w14:paraId="0E7A7A53" w14:textId="77777777" w:rsidR="006B2684" w:rsidRPr="000E1319" w:rsidRDefault="006B2684" w:rsidP="00DE6292">
      <w:pPr>
        <w:pStyle w:val="REG-H1a"/>
        <w:pBdr>
          <w:bottom w:val="single" w:sz="4" w:space="1" w:color="auto"/>
        </w:pBdr>
      </w:pPr>
    </w:p>
    <w:p w14:paraId="057C68E1" w14:textId="10D0250E" w:rsidR="004B13BC" w:rsidRDefault="004B13BC" w:rsidP="00EA0734">
      <w:pPr>
        <w:pStyle w:val="REG-H1a"/>
      </w:pPr>
    </w:p>
    <w:p w14:paraId="731397CA" w14:textId="77777777" w:rsidR="00DA3635" w:rsidRPr="005942E2" w:rsidRDefault="00DA3635" w:rsidP="00DA3635">
      <w:pPr>
        <w:pStyle w:val="REG-P0"/>
        <w:rPr>
          <w:b/>
          <w:noProof w:val="0"/>
        </w:rPr>
      </w:pPr>
      <w:r w:rsidRPr="005942E2">
        <w:rPr>
          <w:b/>
        </w:rPr>
        <w:t>Definitions</w:t>
      </w:r>
    </w:p>
    <w:p w14:paraId="51B308AF" w14:textId="77777777" w:rsidR="00DA3635" w:rsidRPr="005942E2" w:rsidRDefault="00DA3635" w:rsidP="00DA3635">
      <w:pPr>
        <w:pStyle w:val="REG-P0"/>
        <w:rPr>
          <w:b/>
        </w:rPr>
      </w:pPr>
    </w:p>
    <w:p w14:paraId="5C60F56B" w14:textId="77777777" w:rsidR="00DA3635" w:rsidRDefault="00DA3635" w:rsidP="006C1ADB">
      <w:pPr>
        <w:pStyle w:val="REG-P1"/>
      </w:pPr>
      <w:r>
        <w:rPr>
          <w:b/>
          <w:bCs/>
        </w:rPr>
        <w:t>1.</w:t>
      </w:r>
      <w:r>
        <w:rPr>
          <w:b/>
          <w:bCs/>
        </w:rPr>
        <w:tab/>
      </w:r>
      <w:r>
        <w:t>In these Regulations, any word or expression to which a meaning is assigned in the Act, has the same meaning and -</w:t>
      </w:r>
    </w:p>
    <w:p w14:paraId="0EB3ED87" w14:textId="77777777" w:rsidR="00DA3635" w:rsidRDefault="00DA3635" w:rsidP="00DA3635">
      <w:pPr>
        <w:pStyle w:val="REG-P0"/>
      </w:pPr>
    </w:p>
    <w:p w14:paraId="27AC1DD9" w14:textId="77777777" w:rsidR="00DA3635" w:rsidRDefault="00DA3635" w:rsidP="00DA3635">
      <w:pPr>
        <w:pStyle w:val="REG-P0"/>
      </w:pPr>
      <w:r>
        <w:t>“AM” means amplitude modulation;</w:t>
      </w:r>
    </w:p>
    <w:p w14:paraId="1101E474" w14:textId="77777777" w:rsidR="00DA3635" w:rsidRDefault="00DA3635" w:rsidP="00DA3635">
      <w:pPr>
        <w:pStyle w:val="REG-P0"/>
      </w:pPr>
    </w:p>
    <w:p w14:paraId="5CE70DB5" w14:textId="7C324B7E" w:rsidR="005E2097" w:rsidRDefault="005E2097" w:rsidP="005E2097">
      <w:pPr>
        <w:pStyle w:val="REG-P0"/>
        <w:rPr>
          <w:lang w:val="en-ZA"/>
        </w:rPr>
      </w:pPr>
      <w:r w:rsidRPr="005E2097">
        <w:rPr>
          <w:lang w:val="en-ZA"/>
        </w:rPr>
        <w:t>“Authority” means the Communications Regulatory Authority of Namibia;</w:t>
      </w:r>
    </w:p>
    <w:p w14:paraId="30871BE2" w14:textId="77777777" w:rsidR="005E2097" w:rsidRPr="005E2097" w:rsidRDefault="005E2097" w:rsidP="005E2097">
      <w:pPr>
        <w:pStyle w:val="REG-P0"/>
        <w:rPr>
          <w:lang w:val="en-ZA"/>
        </w:rPr>
      </w:pPr>
    </w:p>
    <w:p w14:paraId="2705BAC3" w14:textId="691F676C" w:rsidR="005E2097" w:rsidRDefault="005E2097" w:rsidP="005E2097">
      <w:pPr>
        <w:pStyle w:val="REG-P0"/>
        <w:rPr>
          <w:lang w:val="en-ZA"/>
        </w:rPr>
      </w:pPr>
      <w:r w:rsidRPr="005E2097">
        <w:rPr>
          <w:lang w:val="en-ZA"/>
        </w:rPr>
        <w:t>“certificate” means a certificate of proficiency referred to in section 101(3)(i) of the Act;</w:t>
      </w:r>
    </w:p>
    <w:p w14:paraId="74CF9796" w14:textId="77777777" w:rsidR="005E2097" w:rsidRPr="005E2097" w:rsidRDefault="005E2097" w:rsidP="005E2097">
      <w:pPr>
        <w:pStyle w:val="REG-P0"/>
        <w:rPr>
          <w:lang w:val="en-ZA"/>
        </w:rPr>
      </w:pPr>
    </w:p>
    <w:p w14:paraId="21DA94CC" w14:textId="562DDE0C" w:rsidR="005E2097" w:rsidRDefault="005E2097" w:rsidP="005E2097">
      <w:pPr>
        <w:pStyle w:val="REG-P0"/>
        <w:rPr>
          <w:lang w:val="en-ZA"/>
        </w:rPr>
      </w:pPr>
      <w:r w:rsidRPr="005E2097">
        <w:rPr>
          <w:lang w:val="en-ZA"/>
        </w:rPr>
        <w:t>“DAB” is an acronym for Digital Audio Broadcasting;</w:t>
      </w:r>
    </w:p>
    <w:p w14:paraId="38AC5A6F" w14:textId="77777777" w:rsidR="005E2097" w:rsidRPr="005E2097" w:rsidRDefault="005E2097" w:rsidP="005E2097">
      <w:pPr>
        <w:pStyle w:val="REG-P0"/>
        <w:rPr>
          <w:lang w:val="en-ZA"/>
        </w:rPr>
      </w:pPr>
    </w:p>
    <w:p w14:paraId="598B144C" w14:textId="15133F7D" w:rsidR="005E2097" w:rsidRDefault="005E2097" w:rsidP="005E2097">
      <w:pPr>
        <w:pStyle w:val="REG-P0"/>
        <w:rPr>
          <w:lang w:val="en-ZA"/>
        </w:rPr>
      </w:pPr>
      <w:r w:rsidRPr="005E2097">
        <w:rPr>
          <w:lang w:val="en-ZA"/>
        </w:rPr>
        <w:t>“DRM” is an acronym for Digital Radio Mondiale;</w:t>
      </w:r>
    </w:p>
    <w:p w14:paraId="1E775E2D" w14:textId="77777777" w:rsidR="005E2097" w:rsidRPr="005E2097" w:rsidRDefault="005E2097" w:rsidP="005E2097">
      <w:pPr>
        <w:pStyle w:val="REG-P0"/>
        <w:rPr>
          <w:lang w:val="en-ZA"/>
        </w:rPr>
      </w:pPr>
    </w:p>
    <w:p w14:paraId="47969EAC" w14:textId="58EADBFD" w:rsidR="005E2097" w:rsidRDefault="005E2097" w:rsidP="005E2097">
      <w:pPr>
        <w:pStyle w:val="REG-P0"/>
        <w:rPr>
          <w:lang w:val="en-ZA"/>
        </w:rPr>
      </w:pPr>
      <w:r w:rsidRPr="005E2097">
        <w:rPr>
          <w:lang w:val="en-ZA"/>
        </w:rPr>
        <w:t>“examination” means an examination referred to in section 101(10) of the Act;</w:t>
      </w:r>
    </w:p>
    <w:p w14:paraId="45065D3D" w14:textId="77777777" w:rsidR="005E2097" w:rsidRPr="005E2097" w:rsidRDefault="005E2097" w:rsidP="005E2097">
      <w:pPr>
        <w:pStyle w:val="REG-P0"/>
        <w:rPr>
          <w:lang w:val="en-ZA"/>
        </w:rPr>
      </w:pPr>
    </w:p>
    <w:p w14:paraId="57CECB55" w14:textId="77777777" w:rsidR="00EB28B9" w:rsidRDefault="00EB28B9" w:rsidP="00EB28B9">
      <w:pPr>
        <w:pStyle w:val="REG-P0"/>
        <w:rPr>
          <w:lang w:val="en-ZA"/>
        </w:rPr>
      </w:pPr>
      <w:r w:rsidRPr="005E2097">
        <w:rPr>
          <w:lang w:val="en-ZA"/>
        </w:rPr>
        <w:t xml:space="preserve">“Frequency Band Plan” means the Frequency Band Plan of Namibia published under </w:t>
      </w:r>
      <w:r>
        <w:rPr>
          <w:lang w:val="en-ZA"/>
        </w:rPr>
        <w:t xml:space="preserve">Government Gazette No. 7617, </w:t>
      </w:r>
      <w:r w:rsidRPr="005E2097">
        <w:rPr>
          <w:lang w:val="en-ZA"/>
        </w:rPr>
        <w:t>General Notice</w:t>
      </w:r>
      <w:r>
        <w:rPr>
          <w:lang w:val="en-ZA"/>
        </w:rPr>
        <w:t xml:space="preserve"> </w:t>
      </w:r>
      <w:r w:rsidRPr="005E2097">
        <w:rPr>
          <w:lang w:val="en-ZA"/>
        </w:rPr>
        <w:t xml:space="preserve">No. </w:t>
      </w:r>
      <w:r>
        <w:rPr>
          <w:lang w:val="en-ZA"/>
        </w:rPr>
        <w:t>448</w:t>
      </w:r>
      <w:r w:rsidRPr="005E2097">
        <w:rPr>
          <w:lang w:val="en-ZA"/>
        </w:rPr>
        <w:t xml:space="preserve"> </w:t>
      </w:r>
      <w:r>
        <w:rPr>
          <w:lang w:val="en-ZA"/>
        </w:rPr>
        <w:t>dated</w:t>
      </w:r>
      <w:r w:rsidRPr="005E2097">
        <w:rPr>
          <w:lang w:val="en-ZA"/>
        </w:rPr>
        <w:t xml:space="preserve"> </w:t>
      </w:r>
      <w:r>
        <w:rPr>
          <w:lang w:val="en-ZA"/>
        </w:rPr>
        <w:t>31 August 2021</w:t>
      </w:r>
      <w:r w:rsidRPr="005E2097">
        <w:rPr>
          <w:lang w:val="en-ZA"/>
        </w:rPr>
        <w:t>;</w:t>
      </w:r>
    </w:p>
    <w:p w14:paraId="335B586B" w14:textId="77777777" w:rsidR="00EB28B9" w:rsidRDefault="00EB28B9" w:rsidP="00EB28B9">
      <w:pPr>
        <w:pStyle w:val="REG-P0"/>
      </w:pPr>
    </w:p>
    <w:p w14:paraId="525BC0DC" w14:textId="77777777" w:rsidR="00EB28B9" w:rsidRDefault="00EB28B9" w:rsidP="00EB28B9">
      <w:pPr>
        <w:pStyle w:val="REG-Amend"/>
      </w:pPr>
      <w:r>
        <w:t>[The definition of “Frequency Band Plan” is substituted by General Notice 738/2023.]</w:t>
      </w:r>
    </w:p>
    <w:p w14:paraId="292B2763" w14:textId="77777777" w:rsidR="005E2097" w:rsidRDefault="005E2097" w:rsidP="005E2097">
      <w:pPr>
        <w:pStyle w:val="REG-P0"/>
      </w:pPr>
    </w:p>
    <w:p w14:paraId="33F99F8F" w14:textId="77777777" w:rsidR="000031A8" w:rsidRPr="000031A8" w:rsidRDefault="000031A8" w:rsidP="000031A8">
      <w:pPr>
        <w:pStyle w:val="REG-P0"/>
        <w:rPr>
          <w:lang w:val="en-ZA"/>
        </w:rPr>
      </w:pPr>
      <w:r w:rsidRPr="000031A8">
        <w:rPr>
          <w:lang w:val="en-ZA"/>
        </w:rPr>
        <w:t>“HF” is an acronym for high frequency, which is the ITU designation for radio waves between 3</w:t>
      </w:r>
    </w:p>
    <w:p w14:paraId="0A6AFB95" w14:textId="0DED06E2" w:rsidR="000031A8" w:rsidRDefault="000031A8" w:rsidP="000031A8">
      <w:pPr>
        <w:pStyle w:val="REG-P0"/>
        <w:rPr>
          <w:lang w:val="en-ZA"/>
        </w:rPr>
      </w:pPr>
      <w:r w:rsidRPr="000031A8">
        <w:rPr>
          <w:lang w:val="en-ZA"/>
        </w:rPr>
        <w:t>MHz and 30 MHz;</w:t>
      </w:r>
    </w:p>
    <w:p w14:paraId="592DB40A" w14:textId="77777777" w:rsidR="000031A8" w:rsidRPr="000031A8" w:rsidRDefault="000031A8" w:rsidP="000031A8">
      <w:pPr>
        <w:pStyle w:val="REG-P0"/>
        <w:rPr>
          <w:lang w:val="en-ZA"/>
        </w:rPr>
      </w:pPr>
    </w:p>
    <w:p w14:paraId="17B72FAC" w14:textId="6E993EBC" w:rsidR="000031A8" w:rsidRDefault="000031A8" w:rsidP="000031A8">
      <w:pPr>
        <w:pStyle w:val="REG-P0"/>
        <w:rPr>
          <w:lang w:val="en-ZA"/>
        </w:rPr>
      </w:pPr>
      <w:r w:rsidRPr="000031A8">
        <w:rPr>
          <w:lang w:val="en-ZA"/>
        </w:rPr>
        <w:t>“IMT” is an acronym for International Mobile Telecommunications, which is the generic term used</w:t>
      </w:r>
      <w:r>
        <w:rPr>
          <w:lang w:val="en-ZA"/>
        </w:rPr>
        <w:t xml:space="preserve"> </w:t>
      </w:r>
      <w:r w:rsidRPr="000031A8">
        <w:rPr>
          <w:lang w:val="en-ZA"/>
        </w:rPr>
        <w:t>by the ITU to designate broadband mobile systems;</w:t>
      </w:r>
    </w:p>
    <w:p w14:paraId="0808A4B7" w14:textId="77777777" w:rsidR="000031A8" w:rsidRPr="000031A8" w:rsidRDefault="000031A8" w:rsidP="000031A8">
      <w:pPr>
        <w:pStyle w:val="REG-P0"/>
        <w:rPr>
          <w:lang w:val="en-ZA"/>
        </w:rPr>
      </w:pPr>
    </w:p>
    <w:p w14:paraId="69ACA862" w14:textId="77777777" w:rsidR="000031A8" w:rsidRPr="000031A8" w:rsidRDefault="000031A8" w:rsidP="000031A8">
      <w:pPr>
        <w:pStyle w:val="REG-P0"/>
        <w:rPr>
          <w:lang w:val="en-ZA"/>
        </w:rPr>
      </w:pPr>
      <w:r w:rsidRPr="000031A8">
        <w:rPr>
          <w:lang w:val="en-ZA"/>
        </w:rPr>
        <w:t>“ITU” is an acronym for International Telecommunications Union, which is a United Nations</w:t>
      </w:r>
    </w:p>
    <w:p w14:paraId="1FC49BB5" w14:textId="784060F5" w:rsidR="000031A8" w:rsidRDefault="000031A8" w:rsidP="000031A8">
      <w:pPr>
        <w:pStyle w:val="REG-P0"/>
        <w:rPr>
          <w:lang w:val="en-ZA"/>
        </w:rPr>
      </w:pPr>
      <w:r w:rsidRPr="000031A8">
        <w:rPr>
          <w:lang w:val="en-ZA"/>
        </w:rPr>
        <w:t>specialised agency for information and communications technologies;</w:t>
      </w:r>
    </w:p>
    <w:p w14:paraId="58D4909D" w14:textId="4A5A6D4C" w:rsidR="000031A8" w:rsidRDefault="000031A8" w:rsidP="000031A8">
      <w:pPr>
        <w:pStyle w:val="REG-P0"/>
        <w:rPr>
          <w:lang w:val="en-ZA"/>
        </w:rPr>
      </w:pPr>
    </w:p>
    <w:p w14:paraId="0D573FA3" w14:textId="199619BE" w:rsidR="000031A8" w:rsidRPr="000031A8" w:rsidRDefault="000031A8" w:rsidP="000031A8">
      <w:pPr>
        <w:pStyle w:val="REG-Amend"/>
      </w:pPr>
      <w:r w:rsidRPr="000031A8">
        <w:t xml:space="preserve">[Namibia is a party to the </w:t>
      </w:r>
      <w:hyperlink w:anchor="ITU_1992" w:history="1">
        <w:r w:rsidRPr="000031A8">
          <w:rPr>
            <w:rStyle w:val="Hyperlink"/>
            <w:rFonts w:cs="Arial"/>
            <w:i/>
            <w:u w:val="none"/>
          </w:rPr>
          <w:fldChar w:fldCharType="begin" w:fldLock="1"/>
        </w:r>
        <w:r w:rsidRPr="000031A8">
          <w:rPr>
            <w:rStyle w:val="Hyperlink"/>
            <w:rFonts w:cs="Arial"/>
            <w:i/>
            <w:u w:val="none"/>
          </w:rPr>
          <w:instrText xml:space="preserve"> REF ITU_1992 \h  \* MERGEFORMAT </w:instrText>
        </w:r>
        <w:r w:rsidRPr="000031A8">
          <w:rPr>
            <w:rStyle w:val="Hyperlink"/>
            <w:rFonts w:cs="Arial"/>
            <w:i/>
            <w:u w:val="none"/>
          </w:rPr>
        </w:r>
        <w:r w:rsidRPr="000031A8">
          <w:rPr>
            <w:rStyle w:val="Hyperlink"/>
            <w:rFonts w:cs="Arial"/>
            <w:i/>
            <w:u w:val="none"/>
          </w:rPr>
          <w:fldChar w:fldCharType="separate"/>
        </w:r>
        <w:r w:rsidRPr="000031A8">
          <w:rPr>
            <w:rStyle w:val="Hyperlink"/>
            <w:rFonts w:eastAsiaTheme="majorEastAsia" w:cs="Arial"/>
            <w:i/>
            <w:u w:val="none"/>
          </w:rPr>
          <w:t xml:space="preserve">Constitution and Convention of the </w:t>
        </w:r>
        <w:r>
          <w:rPr>
            <w:rStyle w:val="Hyperlink"/>
            <w:rFonts w:eastAsiaTheme="majorEastAsia" w:cs="Arial"/>
            <w:i/>
            <w:u w:val="none"/>
          </w:rPr>
          <w:br/>
        </w:r>
        <w:r w:rsidRPr="000031A8">
          <w:rPr>
            <w:rStyle w:val="Hyperlink"/>
            <w:rFonts w:eastAsiaTheme="majorEastAsia" w:cs="Arial"/>
            <w:i/>
            <w:u w:val="none"/>
          </w:rPr>
          <w:t>International Telecommunication Union (ITU), 1992</w:t>
        </w:r>
        <w:r w:rsidRPr="000031A8">
          <w:rPr>
            <w:rStyle w:val="Hyperlink"/>
            <w:rFonts w:cs="Arial"/>
            <w:i/>
            <w:u w:val="none"/>
          </w:rPr>
          <w:fldChar w:fldCharType="end"/>
        </w:r>
      </w:hyperlink>
      <w:r w:rsidRPr="000031A8">
        <w:t>.]</w:t>
      </w:r>
    </w:p>
    <w:p w14:paraId="3CB82A58" w14:textId="77777777" w:rsidR="000031A8" w:rsidRPr="000031A8" w:rsidRDefault="000031A8" w:rsidP="000031A8">
      <w:pPr>
        <w:pStyle w:val="REG-P0"/>
        <w:rPr>
          <w:lang w:val="en-ZA"/>
        </w:rPr>
      </w:pPr>
    </w:p>
    <w:p w14:paraId="2288D69F" w14:textId="294F3154" w:rsidR="000031A8" w:rsidRDefault="000031A8" w:rsidP="000031A8">
      <w:pPr>
        <w:pStyle w:val="REG-P0"/>
        <w:rPr>
          <w:lang w:val="en-ZA"/>
        </w:rPr>
      </w:pPr>
      <w:r w:rsidRPr="000031A8">
        <w:rPr>
          <w:lang w:val="en-ZA"/>
        </w:rPr>
        <w:t>“licensee” means any person to whom a spectrum license has been issued in terms of the Regulations</w:t>
      </w:r>
      <w:r>
        <w:rPr>
          <w:lang w:val="en-ZA"/>
        </w:rPr>
        <w:t xml:space="preserve"> </w:t>
      </w:r>
      <w:r w:rsidRPr="000031A8">
        <w:rPr>
          <w:lang w:val="en-ZA"/>
        </w:rPr>
        <w:t>Pertaining to Spectrum Licenses;</w:t>
      </w:r>
    </w:p>
    <w:p w14:paraId="5E2426F3" w14:textId="77777777" w:rsidR="000031A8" w:rsidRPr="000031A8" w:rsidRDefault="000031A8" w:rsidP="000031A8">
      <w:pPr>
        <w:pStyle w:val="REG-P0"/>
        <w:rPr>
          <w:lang w:val="en-ZA"/>
        </w:rPr>
      </w:pPr>
    </w:p>
    <w:p w14:paraId="769E4695" w14:textId="77777777" w:rsidR="000031A8" w:rsidRPr="000031A8" w:rsidRDefault="000031A8" w:rsidP="000031A8">
      <w:pPr>
        <w:pStyle w:val="REG-P0"/>
        <w:rPr>
          <w:lang w:val="en-ZA"/>
        </w:rPr>
      </w:pPr>
      <w:r w:rsidRPr="000031A8">
        <w:rPr>
          <w:lang w:val="en-ZA"/>
        </w:rPr>
        <w:t>“MHz” is an acronym for megahertz, which is the measurement used to indicate the transmission</w:t>
      </w:r>
    </w:p>
    <w:p w14:paraId="3106C481" w14:textId="563DA197" w:rsidR="000031A8" w:rsidRDefault="000031A8" w:rsidP="000031A8">
      <w:pPr>
        <w:pStyle w:val="REG-P0"/>
        <w:rPr>
          <w:lang w:val="en-ZA"/>
        </w:rPr>
      </w:pPr>
      <w:r w:rsidRPr="000031A8">
        <w:rPr>
          <w:lang w:val="en-ZA"/>
        </w:rPr>
        <w:t>speed of electronic devices where a megahertz represents one million cycles per minute;</w:t>
      </w:r>
    </w:p>
    <w:p w14:paraId="156CF021" w14:textId="77777777" w:rsidR="000031A8" w:rsidRPr="000031A8" w:rsidRDefault="000031A8" w:rsidP="000031A8">
      <w:pPr>
        <w:pStyle w:val="REG-P0"/>
        <w:rPr>
          <w:lang w:val="en-ZA"/>
        </w:rPr>
      </w:pPr>
    </w:p>
    <w:p w14:paraId="7600E170" w14:textId="02AD0674" w:rsidR="000031A8" w:rsidRDefault="000031A8" w:rsidP="000031A8">
      <w:pPr>
        <w:pStyle w:val="REG-P0"/>
        <w:rPr>
          <w:lang w:val="en-ZA"/>
        </w:rPr>
      </w:pPr>
      <w:r w:rsidRPr="000031A8">
        <w:rPr>
          <w:lang w:val="en-ZA"/>
        </w:rPr>
        <w:t>“non-urban area” means any location within the borders of the Republic of Namibia outside an urban</w:t>
      </w:r>
      <w:r>
        <w:rPr>
          <w:lang w:val="en-ZA"/>
        </w:rPr>
        <w:t xml:space="preserve"> </w:t>
      </w:r>
      <w:r w:rsidRPr="000031A8">
        <w:rPr>
          <w:lang w:val="en-ZA"/>
        </w:rPr>
        <w:t>area;</w:t>
      </w:r>
    </w:p>
    <w:p w14:paraId="42DD384D" w14:textId="77777777" w:rsidR="000031A8" w:rsidRPr="000031A8" w:rsidRDefault="000031A8" w:rsidP="000031A8">
      <w:pPr>
        <w:pStyle w:val="REG-P0"/>
        <w:rPr>
          <w:lang w:val="en-ZA"/>
        </w:rPr>
      </w:pPr>
    </w:p>
    <w:p w14:paraId="1AD5854B" w14:textId="77777777" w:rsidR="000031A8" w:rsidRPr="000031A8" w:rsidRDefault="000031A8" w:rsidP="000031A8">
      <w:pPr>
        <w:pStyle w:val="REG-P0"/>
        <w:rPr>
          <w:lang w:val="en-ZA"/>
        </w:rPr>
      </w:pPr>
      <w:r w:rsidRPr="000031A8">
        <w:rPr>
          <w:lang w:val="en-ZA"/>
        </w:rPr>
        <w:t>“Regulations Pertaining to Spectrum Licenses” means the Regulations Prescribing Procedures</w:t>
      </w:r>
    </w:p>
    <w:p w14:paraId="0C674E9D" w14:textId="77777777" w:rsidR="000031A8" w:rsidRPr="000031A8" w:rsidRDefault="000031A8" w:rsidP="000031A8">
      <w:pPr>
        <w:pStyle w:val="REG-P0"/>
        <w:rPr>
          <w:lang w:val="en-ZA"/>
        </w:rPr>
      </w:pPr>
      <w:r w:rsidRPr="000031A8">
        <w:rPr>
          <w:lang w:val="en-ZA"/>
        </w:rPr>
        <w:t>Regarding Application for, and Amendment, Renewal, Transfer and Cancellation of Spectrum</w:t>
      </w:r>
    </w:p>
    <w:p w14:paraId="723F91A2" w14:textId="79C81837" w:rsidR="000031A8" w:rsidRDefault="000031A8" w:rsidP="000031A8">
      <w:pPr>
        <w:pStyle w:val="REG-P0"/>
        <w:rPr>
          <w:lang w:val="en-ZA"/>
        </w:rPr>
      </w:pPr>
      <w:r w:rsidRPr="000031A8">
        <w:rPr>
          <w:lang w:val="en-ZA"/>
        </w:rPr>
        <w:t>Licenses published under General Notice No. 104 of 29 April 2019;</w:t>
      </w:r>
    </w:p>
    <w:p w14:paraId="0C55E328" w14:textId="6A3EE0E3" w:rsidR="000031A8" w:rsidRDefault="000031A8" w:rsidP="000031A8">
      <w:pPr>
        <w:pStyle w:val="REG-P0"/>
        <w:rPr>
          <w:lang w:val="en-ZA"/>
        </w:rPr>
      </w:pPr>
    </w:p>
    <w:p w14:paraId="0081E8C8" w14:textId="7C3F36E2" w:rsidR="000E7ACD" w:rsidRPr="000E7ACD" w:rsidRDefault="00AE57BB" w:rsidP="000E7ACD">
      <w:pPr>
        <w:pStyle w:val="REG-Amend"/>
        <w:rPr>
          <w:bCs/>
          <w:lang w:val="en-ZA"/>
        </w:rPr>
      </w:pPr>
      <w:r>
        <w:rPr>
          <w:lang w:val="en-ZA"/>
        </w:rPr>
        <w:t>[</w:t>
      </w:r>
      <w:r w:rsidR="000E7ACD">
        <w:rPr>
          <w:lang w:val="en-ZA"/>
        </w:rPr>
        <w:t>Th</w:t>
      </w:r>
      <w:r>
        <w:rPr>
          <w:lang w:val="en-ZA"/>
        </w:rPr>
        <w:t xml:space="preserve">is </w:t>
      </w:r>
      <w:r w:rsidR="000E7ACD">
        <w:rPr>
          <w:lang w:val="en-ZA"/>
        </w:rPr>
        <w:t>refers to the “</w:t>
      </w:r>
      <w:r w:rsidR="000E7ACD" w:rsidRPr="000E7ACD">
        <w:rPr>
          <w:lang w:val="en-ZA"/>
        </w:rPr>
        <w:t>Regulations Prescribing Procedures Regarding</w:t>
      </w:r>
      <w:r>
        <w:rPr>
          <w:lang w:val="en-ZA"/>
        </w:rPr>
        <w:t xml:space="preserve"> </w:t>
      </w:r>
      <w:r w:rsidR="000E7ACD" w:rsidRPr="000E7ACD">
        <w:rPr>
          <w:lang w:val="en-ZA"/>
        </w:rPr>
        <w:t>Application for, and Amendment, Renewal, Transfer and Cancellation of Spectrum Licences</w:t>
      </w:r>
      <w:r w:rsidR="000E7ACD">
        <w:rPr>
          <w:lang w:val="en-ZA"/>
        </w:rPr>
        <w:t>”. These regulations were initially issue</w:t>
      </w:r>
      <w:r w:rsidR="0071745C">
        <w:rPr>
          <w:lang w:val="en-ZA"/>
        </w:rPr>
        <w:t>d</w:t>
      </w:r>
      <w:r w:rsidR="000E7ACD">
        <w:rPr>
          <w:lang w:val="en-ZA"/>
        </w:rPr>
        <w:t xml:space="preserve"> in </w:t>
      </w:r>
      <w:r w:rsidR="000E7ACD" w:rsidRPr="000E7ACD">
        <w:rPr>
          <w:lang w:val="en-ZA"/>
        </w:rPr>
        <w:t>General Notice 104</w:t>
      </w:r>
      <w:r w:rsidR="000E7ACD">
        <w:rPr>
          <w:lang w:val="en-ZA"/>
        </w:rPr>
        <w:t>/</w:t>
      </w:r>
      <w:r w:rsidR="000E7ACD" w:rsidRPr="000E7ACD">
        <w:rPr>
          <w:lang w:val="en-ZA"/>
        </w:rPr>
        <w:t>2019</w:t>
      </w:r>
      <w:r w:rsidR="000E7ACD" w:rsidRPr="000E7ACD">
        <w:rPr>
          <w:bCs/>
          <w:lang w:val="en-ZA"/>
        </w:rPr>
        <w:t xml:space="preserve"> (</w:t>
      </w:r>
      <w:hyperlink r:id="rId12" w:history="1">
        <w:r w:rsidR="00A012CE" w:rsidRPr="00704C56">
          <w:rPr>
            <w:rStyle w:val="Hyperlink"/>
            <w:bCs/>
          </w:rPr>
          <w:t>GG 6888</w:t>
        </w:r>
      </w:hyperlink>
      <w:r w:rsidR="000E7ACD" w:rsidRPr="000E7ACD">
        <w:rPr>
          <w:bCs/>
          <w:lang w:val="en-ZA"/>
        </w:rPr>
        <w:t xml:space="preserve">), </w:t>
      </w:r>
      <w:r w:rsidR="000E7ACD">
        <w:rPr>
          <w:bCs/>
          <w:lang w:val="en-ZA"/>
        </w:rPr>
        <w:t xml:space="preserve">but they have been amended several times. The annotated version is </w:t>
      </w:r>
      <w:r>
        <w:rPr>
          <w:bCs/>
          <w:lang w:val="en-ZA"/>
        </w:rPr>
        <w:t>entitled “</w:t>
      </w:r>
      <w:r w:rsidRPr="00AE57BB">
        <w:rPr>
          <w:bCs/>
          <w:lang w:val="en-ZA"/>
        </w:rPr>
        <w:t>Communications Act 8 of 2009 - Regulations 2019-104</w:t>
      </w:r>
      <w:r>
        <w:rPr>
          <w:bCs/>
          <w:lang w:val="en-ZA"/>
        </w:rPr>
        <w:t>”.]</w:t>
      </w:r>
    </w:p>
    <w:p w14:paraId="0946632C" w14:textId="77777777" w:rsidR="000E7ACD" w:rsidRDefault="000E7ACD" w:rsidP="000031A8">
      <w:pPr>
        <w:pStyle w:val="REG-P0"/>
        <w:rPr>
          <w:lang w:val="en-ZA"/>
        </w:rPr>
      </w:pPr>
    </w:p>
    <w:p w14:paraId="0BC2E153" w14:textId="77777777" w:rsidR="000031A8" w:rsidRPr="000031A8" w:rsidRDefault="000031A8" w:rsidP="000031A8">
      <w:pPr>
        <w:pStyle w:val="REG-P0"/>
        <w:rPr>
          <w:lang w:val="en-ZA"/>
        </w:rPr>
      </w:pPr>
      <w:r w:rsidRPr="000031A8">
        <w:rPr>
          <w:lang w:val="en-ZA"/>
        </w:rPr>
        <w:t>“satellite news gathering” means temporary and occasional transmission with short notice of</w:t>
      </w:r>
    </w:p>
    <w:p w14:paraId="4E4AEF2A" w14:textId="77777777" w:rsidR="000031A8" w:rsidRPr="000031A8" w:rsidRDefault="000031A8" w:rsidP="000031A8">
      <w:pPr>
        <w:pStyle w:val="REG-P0"/>
        <w:rPr>
          <w:lang w:val="en-ZA"/>
        </w:rPr>
      </w:pPr>
      <w:r w:rsidRPr="000031A8">
        <w:rPr>
          <w:lang w:val="en-ZA"/>
        </w:rPr>
        <w:t>television or sound for broadcasting purposes using portable or transportable uplink earth stations</w:t>
      </w:r>
    </w:p>
    <w:p w14:paraId="2BC5F913" w14:textId="3A55CE6F" w:rsidR="000031A8" w:rsidRDefault="000031A8" w:rsidP="000031A8">
      <w:pPr>
        <w:pStyle w:val="REG-P0"/>
        <w:rPr>
          <w:lang w:val="en-ZA"/>
        </w:rPr>
      </w:pPr>
      <w:r w:rsidRPr="000031A8">
        <w:rPr>
          <w:lang w:val="en-ZA"/>
        </w:rPr>
        <w:t>operating in the framework of a fixed satellite service;</w:t>
      </w:r>
    </w:p>
    <w:p w14:paraId="08DD522B" w14:textId="77777777" w:rsidR="00747D2E" w:rsidRPr="000031A8" w:rsidRDefault="00747D2E" w:rsidP="000031A8">
      <w:pPr>
        <w:pStyle w:val="REG-P0"/>
        <w:rPr>
          <w:lang w:val="en-ZA"/>
        </w:rPr>
      </w:pPr>
    </w:p>
    <w:p w14:paraId="64F10712" w14:textId="77777777" w:rsidR="000031A8" w:rsidRPr="000031A8" w:rsidRDefault="000031A8" w:rsidP="000031A8">
      <w:pPr>
        <w:pStyle w:val="REG-P0"/>
        <w:rPr>
          <w:lang w:val="en-ZA"/>
        </w:rPr>
      </w:pPr>
      <w:r w:rsidRPr="000031A8">
        <w:rPr>
          <w:lang w:val="en-ZA"/>
        </w:rPr>
        <w:t>“spectrum license” means a spectrum license conferred on a licensee in terms of the Regulations</w:t>
      </w:r>
    </w:p>
    <w:p w14:paraId="0DA92E16" w14:textId="7EACFD8D" w:rsidR="000031A8" w:rsidRDefault="000031A8" w:rsidP="000031A8">
      <w:pPr>
        <w:pStyle w:val="REG-P0"/>
        <w:rPr>
          <w:lang w:val="en-ZA"/>
        </w:rPr>
      </w:pPr>
      <w:r w:rsidRPr="000031A8">
        <w:rPr>
          <w:lang w:val="en-ZA"/>
        </w:rPr>
        <w:t>Pertaining to Spectrum Licenses;</w:t>
      </w:r>
    </w:p>
    <w:p w14:paraId="4D87F5D2" w14:textId="77777777" w:rsidR="00747D2E" w:rsidRPr="000031A8" w:rsidRDefault="00747D2E" w:rsidP="000031A8">
      <w:pPr>
        <w:pStyle w:val="REG-P0"/>
        <w:rPr>
          <w:lang w:val="en-ZA"/>
        </w:rPr>
      </w:pPr>
    </w:p>
    <w:p w14:paraId="2E59AEBA" w14:textId="668B3044" w:rsidR="000031A8" w:rsidRDefault="000031A8" w:rsidP="000031A8">
      <w:pPr>
        <w:pStyle w:val="REG-P0"/>
        <w:rPr>
          <w:lang w:val="en-ZA"/>
        </w:rPr>
      </w:pPr>
      <w:r w:rsidRPr="000031A8">
        <w:rPr>
          <w:lang w:val="en-ZA"/>
        </w:rPr>
        <w:t>“the Act” means the Communications Act, 2009 (Act No. 8 of 2009);</w:t>
      </w:r>
    </w:p>
    <w:p w14:paraId="04C78F9A" w14:textId="77777777" w:rsidR="00747D2E" w:rsidRPr="000031A8" w:rsidRDefault="00747D2E" w:rsidP="000031A8">
      <w:pPr>
        <w:pStyle w:val="REG-P0"/>
        <w:rPr>
          <w:lang w:val="en-ZA"/>
        </w:rPr>
      </w:pPr>
    </w:p>
    <w:p w14:paraId="6D0465EE" w14:textId="0D70672A" w:rsidR="000031A8" w:rsidRPr="000031A8" w:rsidRDefault="000031A8" w:rsidP="000031A8">
      <w:pPr>
        <w:pStyle w:val="REG-P0"/>
        <w:rPr>
          <w:lang w:val="en-ZA"/>
        </w:rPr>
      </w:pPr>
      <w:r w:rsidRPr="000031A8">
        <w:rPr>
          <w:lang w:val="en-ZA"/>
        </w:rPr>
        <w:t>“VHF” is an acronym for very high frequency, which is the ITU designation for radio waves between</w:t>
      </w:r>
      <w:r w:rsidR="00747D2E">
        <w:rPr>
          <w:lang w:val="en-ZA"/>
        </w:rPr>
        <w:t xml:space="preserve"> </w:t>
      </w:r>
      <w:r w:rsidRPr="000031A8">
        <w:rPr>
          <w:lang w:val="en-ZA"/>
        </w:rPr>
        <w:t>30 MHz and 300 MHz;</w:t>
      </w:r>
    </w:p>
    <w:p w14:paraId="5CC754B2" w14:textId="71E60A70" w:rsidR="000031A8" w:rsidRPr="000031A8" w:rsidRDefault="000031A8" w:rsidP="000031A8">
      <w:pPr>
        <w:pStyle w:val="REG-P0"/>
        <w:rPr>
          <w:lang w:val="en-ZA"/>
        </w:rPr>
      </w:pPr>
    </w:p>
    <w:p w14:paraId="034F4F44" w14:textId="1FEB7CDE" w:rsidR="000031A8" w:rsidRDefault="000031A8" w:rsidP="000031A8">
      <w:pPr>
        <w:pStyle w:val="REG-P0"/>
        <w:rPr>
          <w:lang w:val="en-ZA"/>
        </w:rPr>
      </w:pPr>
      <w:r w:rsidRPr="000031A8">
        <w:rPr>
          <w:lang w:val="en-ZA"/>
        </w:rPr>
        <w:t>“UHF” is an acronym for ultrahigh frequency, which is the ITU designation for radio waves between</w:t>
      </w:r>
      <w:r w:rsidR="00747D2E">
        <w:rPr>
          <w:lang w:val="en-ZA"/>
        </w:rPr>
        <w:t xml:space="preserve"> </w:t>
      </w:r>
      <w:r w:rsidRPr="000031A8">
        <w:rPr>
          <w:lang w:val="en-ZA"/>
        </w:rPr>
        <w:t>300 MHz and 3 GHz; and</w:t>
      </w:r>
    </w:p>
    <w:p w14:paraId="282201F4" w14:textId="77777777" w:rsidR="00747D2E" w:rsidRPr="000031A8" w:rsidRDefault="00747D2E" w:rsidP="000031A8">
      <w:pPr>
        <w:pStyle w:val="REG-P0"/>
        <w:rPr>
          <w:lang w:val="en-ZA"/>
        </w:rPr>
      </w:pPr>
    </w:p>
    <w:p w14:paraId="7EE7068A" w14:textId="4E657A1F" w:rsidR="00DA3635" w:rsidRDefault="000031A8" w:rsidP="000031A8">
      <w:pPr>
        <w:pStyle w:val="REG-P0"/>
        <w:rPr>
          <w:lang w:val="en-ZA"/>
        </w:rPr>
      </w:pPr>
      <w:r w:rsidRPr="000031A8">
        <w:rPr>
          <w:lang w:val="en-ZA"/>
        </w:rPr>
        <w:t>“urban area” means any location within the area of a local authority established and declared under</w:t>
      </w:r>
      <w:r w:rsidR="00747D2E">
        <w:rPr>
          <w:lang w:val="en-ZA"/>
        </w:rPr>
        <w:t xml:space="preserve"> </w:t>
      </w:r>
      <w:r w:rsidRPr="000031A8">
        <w:rPr>
          <w:lang w:val="en-ZA"/>
        </w:rPr>
        <w:t>section 3 of the Local Authorities Act, 1992 (Act No. 23 of 1992).</w:t>
      </w:r>
    </w:p>
    <w:p w14:paraId="35CAE608" w14:textId="77777777" w:rsidR="000031A8" w:rsidRDefault="000031A8" w:rsidP="000031A8">
      <w:pPr>
        <w:pStyle w:val="REG-P0"/>
      </w:pPr>
    </w:p>
    <w:p w14:paraId="30CDA150" w14:textId="77777777" w:rsidR="00BB0446" w:rsidRPr="00BB0446" w:rsidRDefault="00BB0446" w:rsidP="00BB0446">
      <w:pPr>
        <w:pStyle w:val="REG-P0"/>
        <w:rPr>
          <w:b/>
          <w:bCs/>
          <w:lang w:val="en-ZA"/>
        </w:rPr>
      </w:pPr>
      <w:r w:rsidRPr="00BB0446">
        <w:rPr>
          <w:b/>
          <w:bCs/>
          <w:lang w:val="en-ZA"/>
        </w:rPr>
        <w:t>Objects and application of Regulations</w:t>
      </w:r>
    </w:p>
    <w:p w14:paraId="09D05C45" w14:textId="77777777" w:rsidR="003C1E77" w:rsidRDefault="003C1E77" w:rsidP="00BB0446">
      <w:pPr>
        <w:pStyle w:val="REG-P0"/>
        <w:rPr>
          <w:bCs/>
          <w:lang w:val="en-ZA"/>
        </w:rPr>
      </w:pPr>
    </w:p>
    <w:p w14:paraId="5BB24643" w14:textId="56720F94" w:rsidR="00BB0446" w:rsidRPr="003C1E77" w:rsidRDefault="00BB0446" w:rsidP="003C1E77">
      <w:pPr>
        <w:pStyle w:val="REG-P1"/>
        <w:rPr>
          <w:lang w:val="en-ZA"/>
        </w:rPr>
      </w:pPr>
      <w:r w:rsidRPr="003C1E77">
        <w:rPr>
          <w:b/>
          <w:bCs/>
          <w:lang w:val="en-ZA"/>
        </w:rPr>
        <w:t>2.</w:t>
      </w:r>
      <w:r w:rsidRPr="003C1E77">
        <w:rPr>
          <w:bCs/>
          <w:lang w:val="en-ZA"/>
        </w:rPr>
        <w:t xml:space="preserve"> </w:t>
      </w:r>
      <w:r w:rsidR="003C1E77">
        <w:rPr>
          <w:bCs/>
          <w:lang w:val="en-ZA"/>
        </w:rPr>
        <w:tab/>
      </w:r>
      <w:r w:rsidRPr="003C1E77">
        <w:rPr>
          <w:lang w:val="en-ZA"/>
        </w:rPr>
        <w:t xml:space="preserve">(1) </w:t>
      </w:r>
      <w:r w:rsidR="003C1E77">
        <w:rPr>
          <w:lang w:val="en-ZA"/>
        </w:rPr>
        <w:tab/>
      </w:r>
      <w:r w:rsidRPr="003C1E77">
        <w:rPr>
          <w:lang w:val="en-ZA"/>
        </w:rPr>
        <w:t>The objects of these Regulations are to</w:t>
      </w:r>
      <w:r w:rsidR="003C1E77">
        <w:rPr>
          <w:lang w:val="en-ZA"/>
        </w:rPr>
        <w:t xml:space="preserve"> </w:t>
      </w:r>
      <w:r w:rsidRPr="003C1E77">
        <w:rPr>
          <w:lang w:val="en-ZA"/>
        </w:rPr>
        <w:t>-</w:t>
      </w:r>
    </w:p>
    <w:p w14:paraId="0782EDCA" w14:textId="77777777" w:rsidR="003C1E77" w:rsidRDefault="003C1E77" w:rsidP="00BB0446">
      <w:pPr>
        <w:pStyle w:val="REG-P0"/>
        <w:rPr>
          <w:lang w:val="en-ZA"/>
        </w:rPr>
      </w:pPr>
    </w:p>
    <w:p w14:paraId="15595236" w14:textId="4576E484" w:rsidR="00BB0446" w:rsidRDefault="00BB0446" w:rsidP="003C1E77">
      <w:pPr>
        <w:pStyle w:val="REG-Pa"/>
        <w:rPr>
          <w:lang w:val="en-ZA"/>
        </w:rPr>
      </w:pPr>
      <w:r w:rsidRPr="003C1E77">
        <w:rPr>
          <w:lang w:val="en-ZA"/>
        </w:rPr>
        <w:t xml:space="preserve">(a) </w:t>
      </w:r>
      <w:r w:rsidR="003C1E77">
        <w:rPr>
          <w:lang w:val="en-ZA"/>
        </w:rPr>
        <w:tab/>
      </w:r>
      <w:r w:rsidRPr="003C1E77">
        <w:rPr>
          <w:lang w:val="en-ZA"/>
        </w:rPr>
        <w:t>utilise spectrum fees to enforce efficient use of radio frequency spectrum through</w:t>
      </w:r>
      <w:r w:rsidR="003C1E77">
        <w:rPr>
          <w:lang w:val="en-ZA"/>
        </w:rPr>
        <w:t xml:space="preserve"> </w:t>
      </w:r>
      <w:r w:rsidRPr="003C1E77">
        <w:rPr>
          <w:lang w:val="en-ZA"/>
        </w:rPr>
        <w:t>optimum occupancy thereof and implementation of more spectrally efficient</w:t>
      </w:r>
      <w:r w:rsidR="003C1E77">
        <w:rPr>
          <w:lang w:val="en-ZA"/>
        </w:rPr>
        <w:t xml:space="preserve"> </w:t>
      </w:r>
      <w:r w:rsidRPr="003C1E77">
        <w:rPr>
          <w:lang w:val="en-ZA"/>
        </w:rPr>
        <w:t>equipment and services;</w:t>
      </w:r>
    </w:p>
    <w:p w14:paraId="7D296F32" w14:textId="77777777" w:rsidR="003C1E77" w:rsidRPr="003C1E77" w:rsidRDefault="003C1E77" w:rsidP="003C1E77">
      <w:pPr>
        <w:pStyle w:val="REG-Pa"/>
        <w:rPr>
          <w:lang w:val="en-ZA"/>
        </w:rPr>
      </w:pPr>
    </w:p>
    <w:p w14:paraId="1EB3A222" w14:textId="4D7229D1" w:rsidR="00BB0446" w:rsidRDefault="00BB0446" w:rsidP="003C1E77">
      <w:pPr>
        <w:pStyle w:val="REG-Pa"/>
        <w:rPr>
          <w:lang w:val="en-ZA"/>
        </w:rPr>
      </w:pPr>
      <w:r w:rsidRPr="003C1E77">
        <w:rPr>
          <w:lang w:val="en-ZA"/>
        </w:rPr>
        <w:t xml:space="preserve">(b) </w:t>
      </w:r>
      <w:r w:rsidR="003C1E77">
        <w:rPr>
          <w:lang w:val="en-ZA"/>
        </w:rPr>
        <w:tab/>
      </w:r>
      <w:r w:rsidRPr="003C1E77">
        <w:rPr>
          <w:lang w:val="en-ZA"/>
        </w:rPr>
        <w:t>set spectrum fees to discourage hoarding of spectrum;</w:t>
      </w:r>
    </w:p>
    <w:p w14:paraId="2FBB1E8E" w14:textId="77777777" w:rsidR="003C1E77" w:rsidRPr="003C1E77" w:rsidRDefault="003C1E77" w:rsidP="003C1E77">
      <w:pPr>
        <w:pStyle w:val="REG-Pa"/>
        <w:rPr>
          <w:lang w:val="en-ZA"/>
        </w:rPr>
      </w:pPr>
    </w:p>
    <w:p w14:paraId="6242F15E" w14:textId="2E05B21C" w:rsidR="00BB0446" w:rsidRDefault="00BB0446" w:rsidP="003C1E77">
      <w:pPr>
        <w:pStyle w:val="REG-Pa"/>
        <w:rPr>
          <w:lang w:val="en-ZA"/>
        </w:rPr>
      </w:pPr>
      <w:r w:rsidRPr="003C1E77">
        <w:rPr>
          <w:lang w:val="en-ZA"/>
        </w:rPr>
        <w:t xml:space="preserve">(c) </w:t>
      </w:r>
      <w:r w:rsidR="003C1E77">
        <w:rPr>
          <w:lang w:val="en-ZA"/>
        </w:rPr>
        <w:tab/>
      </w:r>
      <w:r w:rsidRPr="003C1E77">
        <w:rPr>
          <w:lang w:val="en-ZA"/>
        </w:rPr>
        <w:t>set spectrum fees by taking into account the demand for radio frequency spectrum</w:t>
      </w:r>
      <w:r w:rsidR="003C1E77">
        <w:rPr>
          <w:lang w:val="en-ZA"/>
        </w:rPr>
        <w:t xml:space="preserve"> </w:t>
      </w:r>
      <w:r w:rsidRPr="003C1E77">
        <w:rPr>
          <w:lang w:val="en-ZA"/>
        </w:rPr>
        <w:t>in a given spectrum band and the impact of inflation as indicated by the annual</w:t>
      </w:r>
      <w:r w:rsidR="003C1E77">
        <w:rPr>
          <w:lang w:val="en-ZA"/>
        </w:rPr>
        <w:t xml:space="preserve"> </w:t>
      </w:r>
      <w:r w:rsidRPr="003C1E77">
        <w:rPr>
          <w:lang w:val="en-ZA"/>
        </w:rPr>
        <w:t>consumer price index published by the Namibia Statistics Agency on its official</w:t>
      </w:r>
      <w:r w:rsidR="003C1E77">
        <w:rPr>
          <w:lang w:val="en-ZA"/>
        </w:rPr>
        <w:t xml:space="preserve"> </w:t>
      </w:r>
      <w:r w:rsidRPr="003C1E77">
        <w:rPr>
          <w:lang w:val="en-ZA"/>
        </w:rPr>
        <w:t>website from time to time;</w:t>
      </w:r>
    </w:p>
    <w:p w14:paraId="2B8EA53B" w14:textId="77777777" w:rsidR="003C1E77" w:rsidRPr="003C1E77" w:rsidRDefault="003C1E77" w:rsidP="003C1E77">
      <w:pPr>
        <w:pStyle w:val="REG-Pa"/>
        <w:rPr>
          <w:lang w:val="en-ZA"/>
        </w:rPr>
      </w:pPr>
    </w:p>
    <w:p w14:paraId="3D327FFC" w14:textId="3C6A4ADD" w:rsidR="00BB0446" w:rsidRDefault="00BB0446" w:rsidP="003C1E77">
      <w:pPr>
        <w:pStyle w:val="REG-Pa"/>
        <w:rPr>
          <w:lang w:val="en-ZA"/>
        </w:rPr>
      </w:pPr>
      <w:r w:rsidRPr="003C1E77">
        <w:rPr>
          <w:lang w:val="en-ZA"/>
        </w:rPr>
        <w:t xml:space="preserve">(d) </w:t>
      </w:r>
      <w:r w:rsidR="003C1E77">
        <w:rPr>
          <w:lang w:val="en-ZA"/>
        </w:rPr>
        <w:tab/>
      </w:r>
      <w:r w:rsidRPr="003C1E77">
        <w:rPr>
          <w:lang w:val="en-ZA"/>
        </w:rPr>
        <w:t>provide transparency in pricing of radio frequency spectrum;</w:t>
      </w:r>
    </w:p>
    <w:p w14:paraId="54C6CBF6" w14:textId="77777777" w:rsidR="003C1E77" w:rsidRPr="003C1E77" w:rsidRDefault="003C1E77" w:rsidP="003C1E77">
      <w:pPr>
        <w:pStyle w:val="REG-Pa"/>
        <w:rPr>
          <w:lang w:val="en-ZA"/>
        </w:rPr>
      </w:pPr>
    </w:p>
    <w:p w14:paraId="0C2602A5" w14:textId="77777777" w:rsidR="003C1E77" w:rsidRDefault="00BB0446" w:rsidP="003C1E77">
      <w:pPr>
        <w:pStyle w:val="REG-Pa"/>
        <w:rPr>
          <w:lang w:val="en-ZA"/>
        </w:rPr>
      </w:pPr>
      <w:r w:rsidRPr="003C1E77">
        <w:rPr>
          <w:lang w:val="en-ZA"/>
        </w:rPr>
        <w:t xml:space="preserve">(e) </w:t>
      </w:r>
      <w:r w:rsidR="003C1E77">
        <w:rPr>
          <w:lang w:val="en-ZA"/>
        </w:rPr>
        <w:tab/>
      </w:r>
      <w:r w:rsidRPr="003C1E77">
        <w:rPr>
          <w:lang w:val="en-ZA"/>
        </w:rPr>
        <w:t>introduce bandwidth-dependent spectrum licence fees by utilising formula-based</w:t>
      </w:r>
      <w:r w:rsidR="003C1E77">
        <w:rPr>
          <w:lang w:val="en-ZA"/>
        </w:rPr>
        <w:t xml:space="preserve"> </w:t>
      </w:r>
      <w:r w:rsidRPr="003C1E77">
        <w:rPr>
          <w:lang w:val="en-ZA"/>
        </w:rPr>
        <w:t>pricing set out in these Regulations in respect of spectrum licences awarded for fixed</w:t>
      </w:r>
      <w:r w:rsidR="003C1E77">
        <w:rPr>
          <w:lang w:val="en-ZA"/>
        </w:rPr>
        <w:t xml:space="preserve"> </w:t>
      </w:r>
      <w:r w:rsidRPr="003C1E77">
        <w:rPr>
          <w:lang w:val="en-ZA"/>
        </w:rPr>
        <w:t>services, mobile services, IMT services and fixed or mobile satellite services; and</w:t>
      </w:r>
      <w:r w:rsidR="003C1E77">
        <w:rPr>
          <w:lang w:val="en-ZA"/>
        </w:rPr>
        <w:t xml:space="preserve"> </w:t>
      </w:r>
    </w:p>
    <w:p w14:paraId="64E387D7" w14:textId="77777777" w:rsidR="003C1E77" w:rsidRDefault="003C1E77" w:rsidP="003C1E77">
      <w:pPr>
        <w:pStyle w:val="REG-Pa"/>
        <w:rPr>
          <w:lang w:val="en-ZA"/>
        </w:rPr>
      </w:pPr>
    </w:p>
    <w:p w14:paraId="19D3EB7D" w14:textId="3918CA99" w:rsidR="00BB0446" w:rsidRDefault="00BB0446" w:rsidP="003C1E77">
      <w:pPr>
        <w:pStyle w:val="REG-Pa"/>
        <w:rPr>
          <w:lang w:val="en-ZA"/>
        </w:rPr>
      </w:pPr>
      <w:r w:rsidRPr="003C1E77">
        <w:rPr>
          <w:lang w:val="en-ZA"/>
        </w:rPr>
        <w:t xml:space="preserve">(f) </w:t>
      </w:r>
      <w:r w:rsidR="003C1E77">
        <w:rPr>
          <w:lang w:val="en-ZA"/>
        </w:rPr>
        <w:tab/>
      </w:r>
      <w:r w:rsidRPr="003C1E77">
        <w:rPr>
          <w:lang w:val="en-ZA"/>
        </w:rPr>
        <w:t>achieve recovery of costs incurred by the Authority to execute its mandate in respect</w:t>
      </w:r>
      <w:r w:rsidR="003C1E77">
        <w:rPr>
          <w:lang w:val="en-ZA"/>
        </w:rPr>
        <w:t xml:space="preserve"> </w:t>
      </w:r>
      <w:r w:rsidRPr="003C1E77">
        <w:rPr>
          <w:lang w:val="en-ZA"/>
        </w:rPr>
        <w:t>of spectrum management in terms of the Act.</w:t>
      </w:r>
    </w:p>
    <w:p w14:paraId="07211545" w14:textId="77777777" w:rsidR="003C1E77" w:rsidRPr="003C1E77" w:rsidRDefault="003C1E77" w:rsidP="00BB0446">
      <w:pPr>
        <w:pStyle w:val="REG-P0"/>
        <w:rPr>
          <w:lang w:val="en-ZA"/>
        </w:rPr>
      </w:pPr>
    </w:p>
    <w:p w14:paraId="31998616" w14:textId="6B4C36F5" w:rsidR="00BB0446" w:rsidRDefault="00BB0446" w:rsidP="003C1E77">
      <w:pPr>
        <w:pStyle w:val="REG-P1"/>
        <w:rPr>
          <w:lang w:val="en-ZA"/>
        </w:rPr>
      </w:pPr>
      <w:r w:rsidRPr="003C1E77">
        <w:rPr>
          <w:lang w:val="en-ZA"/>
        </w:rPr>
        <w:t xml:space="preserve">(2) </w:t>
      </w:r>
      <w:r w:rsidR="003C1E77">
        <w:rPr>
          <w:lang w:val="en-ZA"/>
        </w:rPr>
        <w:tab/>
      </w:r>
      <w:r w:rsidRPr="003C1E77">
        <w:rPr>
          <w:lang w:val="en-ZA"/>
        </w:rPr>
        <w:t>These regulations apply to all applicants for spectrum licenses, certificates or</w:t>
      </w:r>
      <w:r w:rsidR="003C1E77">
        <w:rPr>
          <w:lang w:val="en-ZA"/>
        </w:rPr>
        <w:t xml:space="preserve"> </w:t>
      </w:r>
      <w:r w:rsidRPr="003C1E77">
        <w:rPr>
          <w:lang w:val="en-ZA"/>
        </w:rPr>
        <w:t>examinations contemplated in section 101 of the Act and licensees.</w:t>
      </w:r>
    </w:p>
    <w:p w14:paraId="65E53B47" w14:textId="77777777" w:rsidR="003C1E77" w:rsidRPr="003C1E77" w:rsidRDefault="003C1E77" w:rsidP="003C1E77">
      <w:pPr>
        <w:pStyle w:val="REG-P1"/>
        <w:rPr>
          <w:lang w:val="en-ZA"/>
        </w:rPr>
      </w:pPr>
    </w:p>
    <w:p w14:paraId="27C68F9C" w14:textId="492DE880" w:rsidR="00BB0446" w:rsidRDefault="00BB0446" w:rsidP="003C1E77">
      <w:pPr>
        <w:pStyle w:val="REG-P1"/>
        <w:rPr>
          <w:lang w:val="en-ZA"/>
        </w:rPr>
      </w:pPr>
      <w:r w:rsidRPr="003C1E77">
        <w:rPr>
          <w:lang w:val="en-ZA"/>
        </w:rPr>
        <w:t xml:space="preserve">(3) </w:t>
      </w:r>
      <w:r w:rsidR="003C1E77">
        <w:rPr>
          <w:lang w:val="en-ZA"/>
        </w:rPr>
        <w:tab/>
      </w:r>
      <w:r w:rsidRPr="003C1E77">
        <w:rPr>
          <w:lang w:val="en-ZA"/>
        </w:rPr>
        <w:t>These regulations do not apply to spectrum licences awarded in terms of regulation</w:t>
      </w:r>
      <w:r w:rsidR="003C1E77">
        <w:rPr>
          <w:lang w:val="en-ZA"/>
        </w:rPr>
        <w:t xml:space="preserve"> </w:t>
      </w:r>
      <w:r w:rsidRPr="003C1E77">
        <w:rPr>
          <w:lang w:val="en-ZA"/>
        </w:rPr>
        <w:t>6(1) of the Regulations Pertaining to Spectrum Licenses until the initial licence period has lapsed in</w:t>
      </w:r>
      <w:r w:rsidR="003C1E77">
        <w:rPr>
          <w:lang w:val="en-ZA"/>
        </w:rPr>
        <w:t xml:space="preserve"> </w:t>
      </w:r>
      <w:r w:rsidRPr="003C1E77">
        <w:rPr>
          <w:lang w:val="en-ZA"/>
        </w:rPr>
        <w:t>terms of regulation 11(1)(b) of those Regulations and the Authority renewed the spectrum licence</w:t>
      </w:r>
      <w:r w:rsidR="003C1E77">
        <w:rPr>
          <w:lang w:val="en-ZA"/>
        </w:rPr>
        <w:t xml:space="preserve"> </w:t>
      </w:r>
      <w:r w:rsidRPr="003C1E77">
        <w:rPr>
          <w:lang w:val="en-ZA"/>
        </w:rPr>
        <w:t>under regulation 13 of those Regulations.</w:t>
      </w:r>
    </w:p>
    <w:p w14:paraId="013D47E0" w14:textId="77777777" w:rsidR="003C1E77" w:rsidRPr="003C1E77" w:rsidRDefault="003C1E77" w:rsidP="00BB0446">
      <w:pPr>
        <w:pStyle w:val="REG-P0"/>
        <w:rPr>
          <w:lang w:val="en-ZA"/>
        </w:rPr>
      </w:pPr>
    </w:p>
    <w:p w14:paraId="07801E3B" w14:textId="77777777" w:rsidR="00BB0446" w:rsidRPr="003C1E77" w:rsidRDefault="00BB0446" w:rsidP="00BB0446">
      <w:pPr>
        <w:pStyle w:val="REG-P0"/>
        <w:rPr>
          <w:b/>
          <w:bCs/>
          <w:lang w:val="en-ZA"/>
        </w:rPr>
      </w:pPr>
      <w:r w:rsidRPr="003C1E77">
        <w:rPr>
          <w:b/>
          <w:bCs/>
          <w:lang w:val="en-ZA"/>
        </w:rPr>
        <w:t>General provisions</w:t>
      </w:r>
    </w:p>
    <w:p w14:paraId="42B49C69" w14:textId="77777777" w:rsidR="003C1E77" w:rsidRDefault="003C1E77" w:rsidP="003C1E77">
      <w:pPr>
        <w:pStyle w:val="REG-P1"/>
        <w:rPr>
          <w:lang w:val="en-ZA"/>
        </w:rPr>
      </w:pPr>
    </w:p>
    <w:p w14:paraId="7EB29E08" w14:textId="533A42D4" w:rsidR="00BB0446" w:rsidRDefault="00BB0446" w:rsidP="003C1E77">
      <w:pPr>
        <w:pStyle w:val="REG-P1"/>
        <w:rPr>
          <w:lang w:val="en-ZA"/>
        </w:rPr>
      </w:pPr>
      <w:r w:rsidRPr="003C1E77">
        <w:rPr>
          <w:b/>
          <w:lang w:val="en-ZA"/>
        </w:rPr>
        <w:t>3.</w:t>
      </w:r>
      <w:r w:rsidRPr="003C1E77">
        <w:rPr>
          <w:bCs/>
          <w:lang w:val="en-ZA"/>
        </w:rPr>
        <w:t xml:space="preserve"> </w:t>
      </w:r>
      <w:r w:rsidR="003C1E77">
        <w:rPr>
          <w:bCs/>
          <w:lang w:val="en-ZA"/>
        </w:rPr>
        <w:tab/>
      </w:r>
      <w:r w:rsidRPr="003C1E77">
        <w:rPr>
          <w:lang w:val="en-ZA"/>
        </w:rPr>
        <w:t xml:space="preserve">(1) </w:t>
      </w:r>
      <w:r w:rsidR="003C1E77">
        <w:rPr>
          <w:lang w:val="en-ZA"/>
        </w:rPr>
        <w:tab/>
      </w:r>
      <w:r w:rsidRPr="003C1E77">
        <w:rPr>
          <w:lang w:val="en-ZA"/>
        </w:rPr>
        <w:t>A spectrum licence is issued and the right to utilise spectrum is conferred in</w:t>
      </w:r>
      <w:r w:rsidR="003C1E77">
        <w:rPr>
          <w:lang w:val="en-ZA"/>
        </w:rPr>
        <w:t xml:space="preserve"> </w:t>
      </w:r>
      <w:r w:rsidRPr="003C1E77">
        <w:rPr>
          <w:lang w:val="en-ZA"/>
        </w:rPr>
        <w:t>accordance with the Regulations Pertaining to Spectrum Licenses.</w:t>
      </w:r>
    </w:p>
    <w:p w14:paraId="7D22A6F0" w14:textId="77777777" w:rsidR="003C1E77" w:rsidRPr="003C1E77" w:rsidRDefault="003C1E77" w:rsidP="00BB0446">
      <w:pPr>
        <w:pStyle w:val="REG-P0"/>
        <w:rPr>
          <w:lang w:val="en-ZA"/>
        </w:rPr>
      </w:pPr>
    </w:p>
    <w:p w14:paraId="43FD8C5F" w14:textId="1AE124D5" w:rsidR="00BB0446" w:rsidRPr="003C1E77" w:rsidRDefault="00BB0446" w:rsidP="003C1E77">
      <w:pPr>
        <w:pStyle w:val="REG-P1"/>
        <w:rPr>
          <w:lang w:val="en-ZA"/>
        </w:rPr>
      </w:pPr>
      <w:r w:rsidRPr="003C1E77">
        <w:rPr>
          <w:lang w:val="en-ZA"/>
        </w:rPr>
        <w:t xml:space="preserve">(2) </w:t>
      </w:r>
      <w:r w:rsidR="003C1E77">
        <w:rPr>
          <w:lang w:val="en-ZA"/>
        </w:rPr>
        <w:tab/>
      </w:r>
      <w:r w:rsidRPr="003C1E77">
        <w:rPr>
          <w:lang w:val="en-ZA"/>
        </w:rPr>
        <w:t>In accordance with regulations 11(1)(a) and 13(10)(a) of the Regulations Pertaining</w:t>
      </w:r>
      <w:r w:rsidR="003C1E77">
        <w:rPr>
          <w:lang w:val="en-ZA"/>
        </w:rPr>
        <w:t xml:space="preserve"> </w:t>
      </w:r>
      <w:r w:rsidRPr="003C1E77">
        <w:rPr>
          <w:lang w:val="en-ZA"/>
        </w:rPr>
        <w:t>to Spectrum Licenses, a spectrum licence issued under Part 2 thereof automatically</w:t>
      </w:r>
      <w:r w:rsidR="003C1E77">
        <w:rPr>
          <w:lang w:val="en-ZA"/>
        </w:rPr>
        <w:t xml:space="preserve"> </w:t>
      </w:r>
      <w:r w:rsidRPr="003C1E77">
        <w:rPr>
          <w:lang w:val="en-ZA"/>
        </w:rPr>
        <w:t>-</w:t>
      </w:r>
    </w:p>
    <w:p w14:paraId="438179F4" w14:textId="77777777" w:rsidR="000F4EEA" w:rsidRDefault="000F4EEA" w:rsidP="000F4EEA">
      <w:pPr>
        <w:pStyle w:val="REG-Pa"/>
        <w:rPr>
          <w:lang w:val="en-ZA"/>
        </w:rPr>
      </w:pPr>
    </w:p>
    <w:p w14:paraId="70FEFA5E" w14:textId="2DBCEA9E" w:rsidR="00BB0446" w:rsidRPr="003C1E77" w:rsidRDefault="00BB0446" w:rsidP="000F4EEA">
      <w:pPr>
        <w:pStyle w:val="REG-Pa"/>
        <w:rPr>
          <w:lang w:val="en-ZA"/>
        </w:rPr>
      </w:pPr>
      <w:r w:rsidRPr="003C1E77">
        <w:rPr>
          <w:lang w:val="en-ZA"/>
        </w:rPr>
        <w:t xml:space="preserve">(a) </w:t>
      </w:r>
      <w:r w:rsidR="000F4EEA">
        <w:rPr>
          <w:lang w:val="en-ZA"/>
        </w:rPr>
        <w:tab/>
      </w:r>
      <w:r w:rsidRPr="003C1E77">
        <w:rPr>
          <w:lang w:val="en-ZA"/>
        </w:rPr>
        <w:t>expires on 31 December of the year of issue;</w:t>
      </w:r>
    </w:p>
    <w:p w14:paraId="38763CD7" w14:textId="77777777" w:rsidR="000F4EEA" w:rsidRDefault="000F4EEA" w:rsidP="000F4EEA">
      <w:pPr>
        <w:pStyle w:val="REG-Pa"/>
        <w:rPr>
          <w:lang w:val="en-ZA"/>
        </w:rPr>
      </w:pPr>
    </w:p>
    <w:p w14:paraId="718189E9" w14:textId="7A8E1987" w:rsidR="00BB0446" w:rsidRDefault="00BB0446" w:rsidP="000F4EEA">
      <w:pPr>
        <w:pStyle w:val="REG-Pa"/>
        <w:rPr>
          <w:lang w:val="en-ZA"/>
        </w:rPr>
      </w:pPr>
      <w:r w:rsidRPr="003C1E77">
        <w:rPr>
          <w:lang w:val="en-ZA"/>
        </w:rPr>
        <w:t xml:space="preserve">(b) </w:t>
      </w:r>
      <w:r w:rsidR="000F4EEA">
        <w:rPr>
          <w:lang w:val="en-ZA"/>
        </w:rPr>
        <w:tab/>
      </w:r>
      <w:r w:rsidRPr="003C1E77">
        <w:rPr>
          <w:lang w:val="en-ZA"/>
        </w:rPr>
        <w:t>renews under regulation 13(10)(a) of those Regulations for the ensuing year upon</w:t>
      </w:r>
      <w:r w:rsidR="000F4EEA">
        <w:rPr>
          <w:lang w:val="en-ZA"/>
        </w:rPr>
        <w:t xml:space="preserve"> </w:t>
      </w:r>
      <w:r w:rsidRPr="003C1E77">
        <w:rPr>
          <w:lang w:val="en-ZA"/>
        </w:rPr>
        <w:t>settlement of the invoice that the Authority issued to the licensee.</w:t>
      </w:r>
    </w:p>
    <w:p w14:paraId="24DB174D" w14:textId="77777777" w:rsidR="000F4EEA" w:rsidRPr="003C1E77" w:rsidRDefault="000F4EEA" w:rsidP="00BB0446">
      <w:pPr>
        <w:pStyle w:val="REG-P0"/>
        <w:rPr>
          <w:lang w:val="en-ZA"/>
        </w:rPr>
      </w:pPr>
    </w:p>
    <w:p w14:paraId="1194ACEE" w14:textId="130F4008" w:rsidR="00BB0446" w:rsidRPr="003C1E77" w:rsidRDefault="00BB0446" w:rsidP="000F4EEA">
      <w:pPr>
        <w:pStyle w:val="REG-P1"/>
        <w:rPr>
          <w:lang w:val="en-ZA"/>
        </w:rPr>
      </w:pPr>
      <w:r w:rsidRPr="003C1E77">
        <w:rPr>
          <w:lang w:val="en-ZA"/>
        </w:rPr>
        <w:t xml:space="preserve">(3) </w:t>
      </w:r>
      <w:r w:rsidR="000F4EEA">
        <w:rPr>
          <w:lang w:val="en-ZA"/>
        </w:rPr>
        <w:tab/>
      </w:r>
      <w:r w:rsidRPr="003C1E77">
        <w:rPr>
          <w:lang w:val="en-ZA"/>
        </w:rPr>
        <w:t>These Regulations prescribe the following fees payable to the Authority</w:t>
      </w:r>
      <w:r w:rsidR="000F4EEA">
        <w:rPr>
          <w:lang w:val="en-ZA"/>
        </w:rPr>
        <w:t xml:space="preserve"> </w:t>
      </w:r>
      <w:r w:rsidRPr="003C1E77">
        <w:rPr>
          <w:lang w:val="en-ZA"/>
        </w:rPr>
        <w:t>-</w:t>
      </w:r>
    </w:p>
    <w:p w14:paraId="108E9105" w14:textId="77777777" w:rsidR="000F4EEA" w:rsidRDefault="000F4EEA" w:rsidP="000F4EEA">
      <w:pPr>
        <w:pStyle w:val="REG-Pa"/>
        <w:rPr>
          <w:lang w:val="en-ZA"/>
        </w:rPr>
      </w:pPr>
    </w:p>
    <w:p w14:paraId="0E4D5D9B" w14:textId="75A1EC9D" w:rsidR="00BB0446" w:rsidRDefault="00BB0446" w:rsidP="000F4EEA">
      <w:pPr>
        <w:pStyle w:val="REG-Pa"/>
        <w:rPr>
          <w:lang w:val="en-ZA"/>
        </w:rPr>
      </w:pPr>
      <w:r w:rsidRPr="003C1E77">
        <w:rPr>
          <w:rFonts w:eastAsia="Times New Roman" w:cs="Times New Roman"/>
          <w:lang w:val="en-ZA"/>
        </w:rPr>
        <w:t xml:space="preserve">(a) </w:t>
      </w:r>
      <w:r w:rsidR="000F4EEA">
        <w:rPr>
          <w:lang w:val="en-ZA"/>
        </w:rPr>
        <w:tab/>
      </w:r>
      <w:r w:rsidRPr="003C1E77">
        <w:rPr>
          <w:rFonts w:eastAsia="Times New Roman" w:cs="Times New Roman"/>
          <w:lang w:val="en-ZA"/>
        </w:rPr>
        <w:t>annual and other fees payable with regard to the authorisation to utilise radio</w:t>
      </w:r>
      <w:r w:rsidR="000F4EEA">
        <w:rPr>
          <w:lang w:val="en-ZA"/>
        </w:rPr>
        <w:t xml:space="preserve"> </w:t>
      </w:r>
      <w:r w:rsidRPr="003C1E77">
        <w:rPr>
          <w:rFonts w:eastAsia="Times New Roman" w:cs="Times New Roman"/>
          <w:lang w:val="en-ZA"/>
        </w:rPr>
        <w:t>frequency spectrum conferred under the spectrum licence;</w:t>
      </w:r>
    </w:p>
    <w:p w14:paraId="5FFF32FA" w14:textId="77777777" w:rsidR="000F4EEA" w:rsidRPr="003C1E77" w:rsidRDefault="000F4EEA" w:rsidP="000F4EEA">
      <w:pPr>
        <w:pStyle w:val="REG-Pa"/>
        <w:rPr>
          <w:rFonts w:eastAsia="Times New Roman" w:cs="Times New Roman"/>
          <w:lang w:val="en-ZA"/>
        </w:rPr>
      </w:pPr>
    </w:p>
    <w:p w14:paraId="067F9DB2" w14:textId="6FACD3DA" w:rsidR="00BB0446" w:rsidRDefault="00BB0446" w:rsidP="000F4EEA">
      <w:pPr>
        <w:pStyle w:val="REG-Pa"/>
        <w:rPr>
          <w:lang w:val="en-ZA"/>
        </w:rPr>
      </w:pPr>
      <w:r w:rsidRPr="003C1E77">
        <w:rPr>
          <w:rFonts w:eastAsia="Times New Roman" w:cs="Times New Roman"/>
          <w:lang w:val="en-ZA"/>
        </w:rPr>
        <w:t xml:space="preserve">(b) </w:t>
      </w:r>
      <w:r w:rsidR="000F4EEA">
        <w:rPr>
          <w:lang w:val="en-ZA"/>
        </w:rPr>
        <w:tab/>
      </w:r>
      <w:r w:rsidRPr="003C1E77">
        <w:rPr>
          <w:rFonts w:eastAsia="Times New Roman" w:cs="Times New Roman"/>
          <w:lang w:val="en-ZA"/>
        </w:rPr>
        <w:t>fees payable for the issue of a certificate;</w:t>
      </w:r>
    </w:p>
    <w:p w14:paraId="544856E4" w14:textId="77777777" w:rsidR="000F4EEA" w:rsidRPr="003C1E77" w:rsidRDefault="000F4EEA" w:rsidP="000F4EEA">
      <w:pPr>
        <w:pStyle w:val="REG-Pa"/>
        <w:rPr>
          <w:rFonts w:eastAsia="Times New Roman" w:cs="Times New Roman"/>
          <w:lang w:val="en-ZA"/>
        </w:rPr>
      </w:pPr>
    </w:p>
    <w:p w14:paraId="68D17A5F" w14:textId="1D082FAF" w:rsidR="00BB0446" w:rsidRDefault="00BB0446" w:rsidP="000F4EEA">
      <w:pPr>
        <w:pStyle w:val="REG-Pa"/>
        <w:rPr>
          <w:lang w:val="en-ZA"/>
        </w:rPr>
      </w:pPr>
      <w:r w:rsidRPr="003C1E77">
        <w:rPr>
          <w:rFonts w:eastAsia="Times New Roman" w:cs="Times New Roman"/>
          <w:lang w:val="en-ZA"/>
        </w:rPr>
        <w:t xml:space="preserve">(c) </w:t>
      </w:r>
      <w:r w:rsidR="000F4EEA">
        <w:rPr>
          <w:lang w:val="en-ZA"/>
        </w:rPr>
        <w:tab/>
      </w:r>
      <w:r w:rsidRPr="003C1E77">
        <w:rPr>
          <w:rFonts w:eastAsia="Times New Roman" w:cs="Times New Roman"/>
          <w:lang w:val="en-ZA"/>
        </w:rPr>
        <w:t>fees payable with regard to an examination.</w:t>
      </w:r>
    </w:p>
    <w:p w14:paraId="5E19FF99" w14:textId="77777777" w:rsidR="000F4EEA" w:rsidRPr="003C1E77" w:rsidRDefault="000F4EEA" w:rsidP="00BB0446">
      <w:pPr>
        <w:pStyle w:val="REG-P0"/>
        <w:rPr>
          <w:lang w:val="en-ZA"/>
        </w:rPr>
      </w:pPr>
    </w:p>
    <w:p w14:paraId="7F9A201B" w14:textId="407B0104" w:rsidR="00BB0446" w:rsidRDefault="00BB0446" w:rsidP="000F4EEA">
      <w:pPr>
        <w:pStyle w:val="REG-P1"/>
        <w:rPr>
          <w:lang w:val="en-ZA"/>
        </w:rPr>
      </w:pPr>
      <w:r w:rsidRPr="003C1E77">
        <w:rPr>
          <w:lang w:val="en-ZA"/>
        </w:rPr>
        <w:t xml:space="preserve">(4) </w:t>
      </w:r>
      <w:r w:rsidR="000F4EEA">
        <w:rPr>
          <w:lang w:val="en-ZA"/>
        </w:rPr>
        <w:tab/>
      </w:r>
      <w:r w:rsidRPr="003C1E77">
        <w:rPr>
          <w:lang w:val="en-ZA"/>
        </w:rPr>
        <w:t>The Authority may, at the end of July of each calendar year adjust the fees referred</w:t>
      </w:r>
      <w:r w:rsidR="000F4EEA">
        <w:rPr>
          <w:lang w:val="en-ZA"/>
        </w:rPr>
        <w:t xml:space="preserve"> </w:t>
      </w:r>
      <w:r w:rsidRPr="003C1E77">
        <w:rPr>
          <w:lang w:val="en-ZA"/>
        </w:rPr>
        <w:t>to in subregulation (3) with the percentage representing the inflation rate per annum as indicated by</w:t>
      </w:r>
      <w:r w:rsidR="000F4EEA">
        <w:rPr>
          <w:lang w:val="en-ZA"/>
        </w:rPr>
        <w:t xml:space="preserve"> </w:t>
      </w:r>
      <w:r w:rsidRPr="003C1E77">
        <w:rPr>
          <w:lang w:val="en-ZA"/>
        </w:rPr>
        <w:t>the annual consumer price index published by the Namibia Statistics Agency on its official website</w:t>
      </w:r>
      <w:r w:rsidR="000F4EEA">
        <w:rPr>
          <w:lang w:val="en-ZA"/>
        </w:rPr>
        <w:t xml:space="preserve"> </w:t>
      </w:r>
      <w:r w:rsidRPr="003C1E77">
        <w:rPr>
          <w:lang w:val="en-ZA"/>
        </w:rPr>
        <w:t>from time to time.</w:t>
      </w:r>
    </w:p>
    <w:p w14:paraId="49E2CB0C" w14:textId="77777777" w:rsidR="000F4EEA" w:rsidRPr="003C1E77" w:rsidRDefault="000F4EEA" w:rsidP="000F4EEA">
      <w:pPr>
        <w:pStyle w:val="REG-P1"/>
        <w:rPr>
          <w:lang w:val="en-ZA"/>
        </w:rPr>
      </w:pPr>
    </w:p>
    <w:p w14:paraId="5F43A5D1" w14:textId="124BE90F" w:rsidR="00BB0446" w:rsidRPr="003C1E77" w:rsidRDefault="00BB0446" w:rsidP="000F4EEA">
      <w:pPr>
        <w:pStyle w:val="REG-P1"/>
        <w:rPr>
          <w:lang w:val="en-ZA"/>
        </w:rPr>
      </w:pPr>
      <w:r w:rsidRPr="003C1E77">
        <w:rPr>
          <w:lang w:val="en-ZA"/>
        </w:rPr>
        <w:t xml:space="preserve">(5) </w:t>
      </w:r>
      <w:r w:rsidR="000F4EEA">
        <w:rPr>
          <w:lang w:val="en-ZA"/>
        </w:rPr>
        <w:tab/>
      </w:r>
      <w:r w:rsidRPr="003C1E77">
        <w:rPr>
          <w:lang w:val="en-ZA"/>
        </w:rPr>
        <w:t>The Authority may not issue or renew a spectrum licence or a certificate, or allow</w:t>
      </w:r>
      <w:r w:rsidR="000F4EEA">
        <w:rPr>
          <w:lang w:val="en-ZA"/>
        </w:rPr>
        <w:t xml:space="preserve"> </w:t>
      </w:r>
      <w:r w:rsidRPr="003C1E77">
        <w:rPr>
          <w:lang w:val="en-ZA"/>
        </w:rPr>
        <w:t>a person to write an examination, unless the applicable fees as set out in these Regulations are fully</w:t>
      </w:r>
      <w:r w:rsidR="000F4EEA">
        <w:rPr>
          <w:lang w:val="en-ZA"/>
        </w:rPr>
        <w:t xml:space="preserve"> </w:t>
      </w:r>
      <w:r w:rsidRPr="003C1E77">
        <w:rPr>
          <w:lang w:val="en-ZA"/>
        </w:rPr>
        <w:t>paid in advance to the Authority.</w:t>
      </w:r>
    </w:p>
    <w:p w14:paraId="5FB6905D" w14:textId="77777777" w:rsidR="000F4EEA" w:rsidRDefault="000F4EEA" w:rsidP="00BB0446">
      <w:pPr>
        <w:pStyle w:val="REG-P0"/>
        <w:rPr>
          <w:lang w:val="en-ZA"/>
        </w:rPr>
      </w:pPr>
    </w:p>
    <w:p w14:paraId="22FEE030" w14:textId="2CD3ED00" w:rsidR="00BB0446" w:rsidRDefault="00BB0446" w:rsidP="000F4EEA">
      <w:pPr>
        <w:pStyle w:val="REG-P1"/>
        <w:rPr>
          <w:lang w:val="en-ZA"/>
        </w:rPr>
      </w:pPr>
      <w:r w:rsidRPr="003C1E77">
        <w:rPr>
          <w:lang w:val="en-ZA"/>
        </w:rPr>
        <w:t xml:space="preserve">(6) </w:t>
      </w:r>
      <w:r w:rsidR="000F4EEA">
        <w:rPr>
          <w:lang w:val="en-ZA"/>
        </w:rPr>
        <w:tab/>
      </w:r>
      <w:r w:rsidRPr="003C1E77">
        <w:rPr>
          <w:lang w:val="en-ZA"/>
        </w:rPr>
        <w:t>Where the Authority determines that radio frequency spectrum will be conferred on a</w:t>
      </w:r>
      <w:r w:rsidR="000F4EEA">
        <w:rPr>
          <w:lang w:val="en-ZA"/>
        </w:rPr>
        <w:t xml:space="preserve"> </w:t>
      </w:r>
      <w:r w:rsidRPr="003C1E77">
        <w:rPr>
          <w:lang w:val="en-ZA"/>
        </w:rPr>
        <w:t>competitive basis in terms of regulation 6(1) of the Regulations Pertaining to Spectrum Licenses, the</w:t>
      </w:r>
      <w:r w:rsidR="000F4EEA">
        <w:rPr>
          <w:lang w:val="en-ZA"/>
        </w:rPr>
        <w:t xml:space="preserve"> </w:t>
      </w:r>
      <w:r w:rsidRPr="003C1E77">
        <w:rPr>
          <w:lang w:val="en-ZA"/>
        </w:rPr>
        <w:t>spectrum fee payable is the amount to be paid by the licensee to the Authority in terms of regulation</w:t>
      </w:r>
      <w:r w:rsidR="000F4EEA">
        <w:rPr>
          <w:lang w:val="en-ZA"/>
        </w:rPr>
        <w:t xml:space="preserve"> </w:t>
      </w:r>
      <w:r w:rsidRPr="003C1E77">
        <w:rPr>
          <w:lang w:val="en-ZA"/>
        </w:rPr>
        <w:t>10(1)(c) of those Regulations.</w:t>
      </w:r>
    </w:p>
    <w:p w14:paraId="5937E367" w14:textId="77777777" w:rsidR="000F4EEA" w:rsidRPr="003C1E77" w:rsidRDefault="000F4EEA" w:rsidP="000F4EEA">
      <w:pPr>
        <w:pStyle w:val="REG-P1"/>
        <w:rPr>
          <w:lang w:val="en-ZA"/>
        </w:rPr>
      </w:pPr>
    </w:p>
    <w:p w14:paraId="26EB4EF5" w14:textId="77777777" w:rsidR="00BB0446" w:rsidRPr="000F4EEA" w:rsidRDefault="00BB0446" w:rsidP="00BB0446">
      <w:pPr>
        <w:pStyle w:val="REG-P0"/>
        <w:rPr>
          <w:b/>
          <w:bCs/>
          <w:lang w:val="en-ZA"/>
        </w:rPr>
      </w:pPr>
      <w:r w:rsidRPr="000F4EEA">
        <w:rPr>
          <w:b/>
          <w:bCs/>
          <w:lang w:val="en-ZA"/>
        </w:rPr>
        <w:t>Flat fees relating to spectrum licence, certificate or examination</w:t>
      </w:r>
    </w:p>
    <w:p w14:paraId="63F89C60" w14:textId="77777777" w:rsidR="000F4EEA" w:rsidRDefault="000F4EEA" w:rsidP="00BB0446">
      <w:pPr>
        <w:pStyle w:val="REG-P0"/>
        <w:rPr>
          <w:bCs/>
          <w:lang w:val="en-ZA"/>
        </w:rPr>
      </w:pPr>
    </w:p>
    <w:p w14:paraId="5B7A693B" w14:textId="77777777" w:rsidR="00EB28B9" w:rsidRPr="003C1E77" w:rsidRDefault="00EB28B9" w:rsidP="00EB28B9">
      <w:pPr>
        <w:pStyle w:val="REG-P1"/>
        <w:rPr>
          <w:lang w:val="en-ZA"/>
        </w:rPr>
      </w:pPr>
      <w:r w:rsidRPr="000F4EEA">
        <w:rPr>
          <w:b/>
          <w:lang w:val="en-ZA"/>
        </w:rPr>
        <w:t>4.</w:t>
      </w:r>
      <w:r>
        <w:rPr>
          <w:lang w:val="en-ZA"/>
        </w:rPr>
        <w:tab/>
      </w:r>
      <w:r w:rsidRPr="003C1E77">
        <w:rPr>
          <w:lang w:val="en-ZA"/>
        </w:rPr>
        <w:t xml:space="preserve">(1) </w:t>
      </w:r>
      <w:r>
        <w:rPr>
          <w:lang w:val="en-ZA"/>
        </w:rPr>
        <w:tab/>
      </w:r>
      <w:r w:rsidRPr="003C1E77">
        <w:rPr>
          <w:lang w:val="en-ZA"/>
        </w:rPr>
        <w:t>The fees set out for items 1, 2, 3, 4, 5, 6 and 9 of Table 1 below are payable</w:t>
      </w:r>
      <w:r>
        <w:rPr>
          <w:lang w:val="en-ZA"/>
        </w:rPr>
        <w:t xml:space="preserve"> </w:t>
      </w:r>
      <w:r w:rsidRPr="003C1E77">
        <w:rPr>
          <w:lang w:val="en-ZA"/>
        </w:rPr>
        <w:t>annually in advance and in full, and are not refundable in full or in part, regardless if a spectrum</w:t>
      </w:r>
      <w:r>
        <w:rPr>
          <w:lang w:val="en-ZA"/>
        </w:rPr>
        <w:t xml:space="preserve"> </w:t>
      </w:r>
      <w:r w:rsidRPr="003C1E77">
        <w:rPr>
          <w:lang w:val="en-ZA"/>
        </w:rPr>
        <w:t>licence or the authorisation to utilise spectrum in terms of such licence pertaining to such fees -</w:t>
      </w:r>
    </w:p>
    <w:p w14:paraId="0223E8A2" w14:textId="77777777" w:rsidR="00EB28B9" w:rsidRDefault="00EB28B9" w:rsidP="00EB28B9">
      <w:pPr>
        <w:pStyle w:val="REG-P0"/>
        <w:rPr>
          <w:lang w:val="en-ZA"/>
        </w:rPr>
      </w:pPr>
    </w:p>
    <w:p w14:paraId="36A04D6B" w14:textId="77777777" w:rsidR="00EB28B9" w:rsidRDefault="00EB28B9" w:rsidP="00EB28B9">
      <w:pPr>
        <w:pStyle w:val="REG-Pa"/>
        <w:rPr>
          <w:lang w:val="en-ZA"/>
        </w:rPr>
      </w:pPr>
      <w:r w:rsidRPr="003C1E77">
        <w:rPr>
          <w:lang w:val="en-ZA"/>
        </w:rPr>
        <w:t xml:space="preserve">(a) </w:t>
      </w:r>
      <w:r>
        <w:rPr>
          <w:lang w:val="en-ZA"/>
        </w:rPr>
        <w:tab/>
      </w:r>
      <w:r w:rsidRPr="003C1E77">
        <w:rPr>
          <w:lang w:val="en-ZA"/>
        </w:rPr>
        <w:t>is issued during the course of a specific calendar year; or</w:t>
      </w:r>
    </w:p>
    <w:p w14:paraId="3EC6CF0D" w14:textId="77777777" w:rsidR="00EB28B9" w:rsidRPr="003C1E77" w:rsidRDefault="00EB28B9" w:rsidP="00EB28B9">
      <w:pPr>
        <w:pStyle w:val="REG-Pa"/>
        <w:rPr>
          <w:lang w:val="en-ZA"/>
        </w:rPr>
      </w:pPr>
    </w:p>
    <w:p w14:paraId="6C01F3A5" w14:textId="77777777" w:rsidR="00EB28B9" w:rsidRDefault="00EB28B9" w:rsidP="00EB28B9">
      <w:pPr>
        <w:pStyle w:val="REG-Pa"/>
        <w:rPr>
          <w:lang w:val="en-ZA"/>
        </w:rPr>
      </w:pPr>
      <w:r w:rsidRPr="003C1E77">
        <w:rPr>
          <w:lang w:val="en-ZA"/>
        </w:rPr>
        <w:t xml:space="preserve">(b) </w:t>
      </w:r>
      <w:r>
        <w:rPr>
          <w:lang w:val="en-ZA"/>
        </w:rPr>
        <w:tab/>
      </w:r>
      <w:r w:rsidRPr="003C1E77">
        <w:rPr>
          <w:lang w:val="en-ZA"/>
        </w:rPr>
        <w:t>expires, is forfeited, lapses or is discontinued for whatever reason:</w:t>
      </w:r>
    </w:p>
    <w:p w14:paraId="21ECFD8D" w14:textId="77777777" w:rsidR="00EB28B9" w:rsidRPr="003C1E77" w:rsidRDefault="00EB28B9" w:rsidP="00EB28B9">
      <w:pPr>
        <w:pStyle w:val="REG-P0"/>
        <w:rPr>
          <w:lang w:val="en-ZA"/>
        </w:rPr>
      </w:pPr>
    </w:p>
    <w:p w14:paraId="1BC7C066" w14:textId="77777777" w:rsidR="00EB28B9" w:rsidRPr="003C1E77" w:rsidRDefault="00EB28B9" w:rsidP="00EB28B9">
      <w:pPr>
        <w:pStyle w:val="REG-P0"/>
        <w:rPr>
          <w:lang w:val="en-ZA"/>
        </w:rPr>
      </w:pPr>
      <w:r w:rsidRPr="003C1E77">
        <w:rPr>
          <w:lang w:val="en-ZA"/>
        </w:rPr>
        <w:t>Provided that licensees are bound to pay a minimum fee of N$ 6</w:t>
      </w:r>
      <w:r>
        <w:rPr>
          <w:lang w:val="en-ZA"/>
        </w:rPr>
        <w:t>5</w:t>
      </w:r>
      <w:r w:rsidRPr="003C1E77">
        <w:rPr>
          <w:lang w:val="en-ZA"/>
        </w:rPr>
        <w:t>.00 irrespective of the actual</w:t>
      </w:r>
      <w:r>
        <w:rPr>
          <w:lang w:val="en-ZA"/>
        </w:rPr>
        <w:t xml:space="preserve"> </w:t>
      </w:r>
      <w:r w:rsidRPr="003C1E77">
        <w:rPr>
          <w:lang w:val="en-ZA"/>
        </w:rPr>
        <w:t>amount payable in terms of this subregulation.</w:t>
      </w:r>
    </w:p>
    <w:p w14:paraId="592CC90B" w14:textId="77777777" w:rsidR="00EB28B9" w:rsidRDefault="00EB28B9" w:rsidP="00EB28B9">
      <w:pPr>
        <w:pStyle w:val="REG-P0"/>
        <w:rPr>
          <w:lang w:val="en-ZA"/>
        </w:rPr>
      </w:pPr>
    </w:p>
    <w:p w14:paraId="2629897C" w14:textId="437713CB" w:rsidR="00EB28B9" w:rsidRPr="00EB28B9" w:rsidRDefault="00EB28B9" w:rsidP="00EB28B9">
      <w:pPr>
        <w:pStyle w:val="REG-Amend"/>
      </w:pPr>
      <w:r w:rsidRPr="00EB28B9">
        <w:t>[Regulation 4(1) is substituted by General Notice 738/2023.]</w:t>
      </w:r>
    </w:p>
    <w:p w14:paraId="4055C419" w14:textId="77777777" w:rsidR="000F4EEA" w:rsidRDefault="000F4EEA" w:rsidP="00BB0446">
      <w:pPr>
        <w:pStyle w:val="REG-P0"/>
        <w:rPr>
          <w:lang w:val="en-ZA"/>
        </w:rPr>
      </w:pPr>
    </w:p>
    <w:p w14:paraId="23F897B0" w14:textId="137C1330" w:rsidR="00BB0446" w:rsidRPr="003C1E77" w:rsidRDefault="00BB0446" w:rsidP="00713BBB">
      <w:pPr>
        <w:pStyle w:val="REG-P1"/>
        <w:rPr>
          <w:lang w:val="en-ZA"/>
        </w:rPr>
      </w:pPr>
      <w:r w:rsidRPr="003C1E77">
        <w:rPr>
          <w:lang w:val="en-ZA"/>
        </w:rPr>
        <w:t xml:space="preserve">(2) </w:t>
      </w:r>
      <w:r w:rsidR="000F4EEA">
        <w:rPr>
          <w:lang w:val="en-ZA"/>
        </w:rPr>
        <w:tab/>
      </w:r>
      <w:r w:rsidRPr="003C1E77">
        <w:rPr>
          <w:lang w:val="en-ZA"/>
        </w:rPr>
        <w:t>A monthly fee is payable in respect of a spectrum licence for a mobile or fixed</w:t>
      </w:r>
      <w:r w:rsidR="000F4EEA">
        <w:rPr>
          <w:lang w:val="en-ZA"/>
        </w:rPr>
        <w:t xml:space="preserve"> </w:t>
      </w:r>
      <w:r w:rsidRPr="003C1E77">
        <w:rPr>
          <w:lang w:val="en-ZA"/>
        </w:rPr>
        <w:t>satellite news gathering station referred to item 7.4 of the Table 1 below, irrespective whether the</w:t>
      </w:r>
      <w:r w:rsidR="000F4EEA">
        <w:rPr>
          <w:lang w:val="en-ZA"/>
        </w:rPr>
        <w:t xml:space="preserve"> </w:t>
      </w:r>
      <w:r w:rsidRPr="003C1E77">
        <w:rPr>
          <w:lang w:val="en-ZA"/>
        </w:rPr>
        <w:t>month is a calendar month or a consecutive period of 30 days (the latter which, for purposes of this</w:t>
      </w:r>
      <w:r w:rsidR="000F4EEA">
        <w:rPr>
          <w:lang w:val="en-ZA"/>
        </w:rPr>
        <w:t xml:space="preserve"> </w:t>
      </w:r>
      <w:r w:rsidRPr="003C1E77">
        <w:rPr>
          <w:lang w:val="en-ZA"/>
        </w:rPr>
        <w:t>subregulation is deemed to be a month), subject thereto that</w:t>
      </w:r>
      <w:r w:rsidR="000F4EEA">
        <w:rPr>
          <w:lang w:val="en-ZA"/>
        </w:rPr>
        <w:t xml:space="preserve"> </w:t>
      </w:r>
      <w:r w:rsidRPr="003C1E77">
        <w:rPr>
          <w:lang w:val="en-ZA"/>
        </w:rPr>
        <w:t>-</w:t>
      </w:r>
    </w:p>
    <w:p w14:paraId="6D40AC6A" w14:textId="77777777" w:rsidR="000F4EEA" w:rsidRDefault="000F4EEA" w:rsidP="00BB0446">
      <w:pPr>
        <w:pStyle w:val="REG-P0"/>
        <w:rPr>
          <w:lang w:val="en-ZA"/>
        </w:rPr>
      </w:pPr>
    </w:p>
    <w:p w14:paraId="35C9D329" w14:textId="3ACC7591" w:rsidR="00BB0446" w:rsidRDefault="00BB0446" w:rsidP="000F4EEA">
      <w:pPr>
        <w:pStyle w:val="REG-Pa"/>
        <w:rPr>
          <w:lang w:val="en-ZA"/>
        </w:rPr>
      </w:pPr>
      <w:r w:rsidRPr="003C1E77">
        <w:rPr>
          <w:lang w:val="en-ZA"/>
        </w:rPr>
        <w:t xml:space="preserve">(a) </w:t>
      </w:r>
      <w:r w:rsidR="000F4EEA">
        <w:rPr>
          <w:lang w:val="en-ZA"/>
        </w:rPr>
        <w:tab/>
      </w:r>
      <w:r w:rsidRPr="003C1E77">
        <w:rPr>
          <w:lang w:val="en-ZA"/>
        </w:rPr>
        <w:t>the full monthly fee is payable per month or part thereof, regardless if radio frequency</w:t>
      </w:r>
      <w:r w:rsidR="000F4EEA">
        <w:rPr>
          <w:lang w:val="en-ZA"/>
        </w:rPr>
        <w:t xml:space="preserve"> </w:t>
      </w:r>
      <w:r w:rsidRPr="003C1E77">
        <w:rPr>
          <w:lang w:val="en-ZA"/>
        </w:rPr>
        <w:t>spectrum under the licence is utilised only for part of a month;</w:t>
      </w:r>
    </w:p>
    <w:p w14:paraId="50C706D4" w14:textId="77777777" w:rsidR="000F4EEA" w:rsidRPr="003C1E77" w:rsidRDefault="000F4EEA" w:rsidP="000F4EEA">
      <w:pPr>
        <w:pStyle w:val="REG-Pa"/>
        <w:rPr>
          <w:lang w:val="en-ZA"/>
        </w:rPr>
      </w:pPr>
    </w:p>
    <w:p w14:paraId="16E80A90" w14:textId="5E840591" w:rsidR="00BB0446" w:rsidRDefault="00BB0446" w:rsidP="000F4EEA">
      <w:pPr>
        <w:pStyle w:val="REG-Pa"/>
        <w:rPr>
          <w:lang w:val="en-ZA"/>
        </w:rPr>
      </w:pPr>
      <w:r w:rsidRPr="003C1E77">
        <w:rPr>
          <w:lang w:val="en-ZA"/>
        </w:rPr>
        <w:t xml:space="preserve">(b) </w:t>
      </w:r>
      <w:r w:rsidR="000F4EEA">
        <w:rPr>
          <w:lang w:val="en-ZA"/>
        </w:rPr>
        <w:tab/>
      </w:r>
      <w:r w:rsidRPr="003C1E77">
        <w:rPr>
          <w:lang w:val="en-ZA"/>
        </w:rPr>
        <w:t>if the licence is issued prior to the end of a calendar year and expires in the ensuing</w:t>
      </w:r>
      <w:r w:rsidR="000F4EEA">
        <w:rPr>
          <w:lang w:val="en-ZA"/>
        </w:rPr>
        <w:t xml:space="preserve"> </w:t>
      </w:r>
      <w:r w:rsidRPr="003C1E77">
        <w:rPr>
          <w:lang w:val="en-ZA"/>
        </w:rPr>
        <w:t>calendar year for which a higher monthly fee is payable, the licensee must pay the</w:t>
      </w:r>
      <w:r w:rsidR="000F4EEA">
        <w:rPr>
          <w:lang w:val="en-ZA"/>
        </w:rPr>
        <w:t xml:space="preserve"> </w:t>
      </w:r>
      <w:r w:rsidRPr="003C1E77">
        <w:rPr>
          <w:lang w:val="en-ZA"/>
        </w:rPr>
        <w:t>lower monthly fee for the duration of year in which the license is issued and pay the</w:t>
      </w:r>
      <w:r w:rsidR="000F4EEA">
        <w:rPr>
          <w:lang w:val="en-ZA"/>
        </w:rPr>
        <w:t xml:space="preserve"> </w:t>
      </w:r>
      <w:r w:rsidRPr="003C1E77">
        <w:rPr>
          <w:lang w:val="en-ZA"/>
        </w:rPr>
        <w:t>higher fee for the remaining months in the ensuing year; and</w:t>
      </w:r>
    </w:p>
    <w:p w14:paraId="09D683DD" w14:textId="77777777" w:rsidR="000F4EEA" w:rsidRPr="003C1E77" w:rsidRDefault="000F4EEA" w:rsidP="000F4EEA">
      <w:pPr>
        <w:pStyle w:val="REG-Pa"/>
        <w:rPr>
          <w:lang w:val="en-ZA"/>
        </w:rPr>
      </w:pPr>
    </w:p>
    <w:p w14:paraId="6AC73D4D" w14:textId="4EE7F331" w:rsidR="00BB0446" w:rsidRDefault="00BB0446" w:rsidP="000F4EEA">
      <w:pPr>
        <w:pStyle w:val="REG-Pa"/>
        <w:rPr>
          <w:lang w:val="en-ZA"/>
        </w:rPr>
      </w:pPr>
      <w:r w:rsidRPr="003C1E77">
        <w:rPr>
          <w:lang w:val="en-ZA"/>
        </w:rPr>
        <w:t xml:space="preserve">(c) </w:t>
      </w:r>
      <w:r w:rsidR="000F4EEA">
        <w:rPr>
          <w:lang w:val="en-ZA"/>
        </w:rPr>
        <w:tab/>
      </w:r>
      <w:r w:rsidRPr="003C1E77">
        <w:rPr>
          <w:lang w:val="en-ZA"/>
        </w:rPr>
        <w:t>a licensee desiring to continue to use radio frequency spectrum under a license due</w:t>
      </w:r>
      <w:r w:rsidR="000F4EEA">
        <w:rPr>
          <w:lang w:val="en-ZA"/>
        </w:rPr>
        <w:t xml:space="preserve"> </w:t>
      </w:r>
      <w:r w:rsidRPr="003C1E77">
        <w:rPr>
          <w:lang w:val="en-ZA"/>
        </w:rPr>
        <w:t>to expire must apply for renewal thereof in accordance with regulation 13 of the</w:t>
      </w:r>
      <w:r w:rsidR="000F4EEA">
        <w:rPr>
          <w:lang w:val="en-ZA"/>
        </w:rPr>
        <w:t xml:space="preserve"> </w:t>
      </w:r>
      <w:r w:rsidRPr="003C1E77">
        <w:rPr>
          <w:lang w:val="en-ZA"/>
        </w:rPr>
        <w:t>Regulations Pertaining to Spectrum Licenses.</w:t>
      </w:r>
    </w:p>
    <w:p w14:paraId="33697AD0" w14:textId="77777777" w:rsidR="000F4EEA" w:rsidRPr="003C1E77" w:rsidRDefault="000F4EEA" w:rsidP="00BB0446">
      <w:pPr>
        <w:pStyle w:val="REG-P0"/>
        <w:rPr>
          <w:lang w:val="en-ZA"/>
        </w:rPr>
      </w:pPr>
    </w:p>
    <w:p w14:paraId="039F01D8" w14:textId="50CDACD0" w:rsidR="00BB0446" w:rsidRDefault="00BB0446" w:rsidP="00DC7FA3">
      <w:pPr>
        <w:pStyle w:val="REG-Pa"/>
        <w:rPr>
          <w:lang w:val="en-ZA"/>
        </w:rPr>
      </w:pPr>
      <w:r w:rsidRPr="003C1E77">
        <w:rPr>
          <w:lang w:val="en-ZA"/>
        </w:rPr>
        <w:t xml:space="preserve">(3) </w:t>
      </w:r>
      <w:r w:rsidR="00DC7FA3">
        <w:rPr>
          <w:lang w:val="en-ZA"/>
        </w:rPr>
        <w:tab/>
      </w:r>
      <w:r w:rsidRPr="003C1E77">
        <w:rPr>
          <w:lang w:val="en-ZA"/>
        </w:rPr>
        <w:t xml:space="preserve">(a) </w:t>
      </w:r>
      <w:r w:rsidR="00DC7FA3">
        <w:rPr>
          <w:lang w:val="en-ZA"/>
        </w:rPr>
        <w:tab/>
      </w:r>
      <w:r w:rsidRPr="003C1E77">
        <w:rPr>
          <w:lang w:val="en-ZA"/>
        </w:rPr>
        <w:t>Unless radio frequency spectrum is conferred by means of a spectrum auction</w:t>
      </w:r>
      <w:r w:rsidR="00DC7FA3">
        <w:rPr>
          <w:lang w:val="en-ZA"/>
        </w:rPr>
        <w:t xml:space="preserve"> </w:t>
      </w:r>
      <w:r w:rsidRPr="003C1E77">
        <w:rPr>
          <w:lang w:val="en-ZA"/>
        </w:rPr>
        <w:t>in terms of Part 3 of the Regulations Pertaining to Spectrum Licenses, fees</w:t>
      </w:r>
      <w:r w:rsidR="00DC7FA3">
        <w:rPr>
          <w:lang w:val="en-ZA"/>
        </w:rPr>
        <w:t xml:space="preserve"> </w:t>
      </w:r>
      <w:r w:rsidRPr="003C1E77">
        <w:rPr>
          <w:lang w:val="en-ZA"/>
        </w:rPr>
        <w:t>in respect of any spectrum licence issued in relation to items 7.1 to 7.3 and</w:t>
      </w:r>
      <w:r w:rsidR="00DC7FA3">
        <w:rPr>
          <w:lang w:val="en-ZA"/>
        </w:rPr>
        <w:t xml:space="preserve"> </w:t>
      </w:r>
      <w:r w:rsidRPr="003C1E77">
        <w:rPr>
          <w:lang w:val="en-ZA"/>
        </w:rPr>
        <w:t>8 (excluding item 8.5) in Table 1 below are payable annually in advance and</w:t>
      </w:r>
      <w:r w:rsidR="00DC7FA3">
        <w:rPr>
          <w:lang w:val="en-ZA"/>
        </w:rPr>
        <w:t xml:space="preserve"> </w:t>
      </w:r>
      <w:r w:rsidRPr="003C1E77">
        <w:rPr>
          <w:lang w:val="en-ZA"/>
        </w:rPr>
        <w:t>in full.</w:t>
      </w:r>
    </w:p>
    <w:p w14:paraId="7D6B9315" w14:textId="77777777" w:rsidR="00DC7FA3" w:rsidRPr="003C1E77" w:rsidRDefault="00DC7FA3" w:rsidP="00DC7FA3">
      <w:pPr>
        <w:pStyle w:val="REG-Pa"/>
        <w:rPr>
          <w:lang w:val="en-ZA"/>
        </w:rPr>
      </w:pPr>
    </w:p>
    <w:p w14:paraId="5D4EB781" w14:textId="7E842876" w:rsidR="00BB0446" w:rsidRDefault="00BB0446" w:rsidP="00DC7FA3">
      <w:pPr>
        <w:pStyle w:val="REG-Pa"/>
        <w:rPr>
          <w:lang w:val="en-ZA"/>
        </w:rPr>
      </w:pPr>
      <w:r w:rsidRPr="003C1E77">
        <w:rPr>
          <w:rFonts w:eastAsia="Times New Roman" w:cs="Times New Roman"/>
          <w:lang w:val="en-ZA"/>
        </w:rPr>
        <w:t xml:space="preserve">(b) </w:t>
      </w:r>
      <w:r w:rsidR="00DC7FA3">
        <w:rPr>
          <w:lang w:val="en-ZA"/>
        </w:rPr>
        <w:tab/>
      </w:r>
      <w:r w:rsidRPr="003C1E77">
        <w:rPr>
          <w:rFonts w:eastAsia="Times New Roman" w:cs="Times New Roman"/>
          <w:lang w:val="en-ZA"/>
        </w:rPr>
        <w:t>If such license is forfeited, lapses or is discontinued for whatever reason prior to</w:t>
      </w:r>
      <w:r w:rsidR="00DC7FA3">
        <w:rPr>
          <w:lang w:val="en-ZA"/>
        </w:rPr>
        <w:t xml:space="preserve"> </w:t>
      </w:r>
      <w:r w:rsidRPr="003C1E77">
        <w:rPr>
          <w:rFonts w:eastAsia="Times New Roman" w:cs="Times New Roman"/>
          <w:lang w:val="en-ZA"/>
        </w:rPr>
        <w:t>its expiry in terms of the Regulations Pertaining to Spectrum Licenses, the licensee</w:t>
      </w:r>
      <w:r w:rsidR="00DC7FA3">
        <w:rPr>
          <w:lang w:val="en-ZA"/>
        </w:rPr>
        <w:t xml:space="preserve"> </w:t>
      </w:r>
      <w:r w:rsidRPr="003C1E77">
        <w:rPr>
          <w:rFonts w:eastAsia="Times New Roman" w:cs="Times New Roman"/>
          <w:lang w:val="en-ZA"/>
        </w:rPr>
        <w:t>concerned may be refunded for any month during which it did not utilise radio</w:t>
      </w:r>
      <w:r w:rsidR="00DC7FA3">
        <w:rPr>
          <w:lang w:val="en-ZA"/>
        </w:rPr>
        <w:t xml:space="preserve"> </w:t>
      </w:r>
      <w:r w:rsidRPr="003C1E77">
        <w:rPr>
          <w:rFonts w:eastAsia="Times New Roman" w:cs="Times New Roman"/>
          <w:lang w:val="en-ZA"/>
        </w:rPr>
        <w:t>frequency spectrum following such forfeiture, lapse, or discontinuance in terms of</w:t>
      </w:r>
      <w:r w:rsidR="00DC7FA3">
        <w:rPr>
          <w:lang w:val="en-ZA"/>
        </w:rPr>
        <w:t xml:space="preserve"> </w:t>
      </w:r>
      <w:r w:rsidRPr="003C1E77">
        <w:rPr>
          <w:rFonts w:eastAsia="Times New Roman" w:cs="Times New Roman"/>
          <w:lang w:val="en-ZA"/>
        </w:rPr>
        <w:t>those Regulations.</w:t>
      </w:r>
    </w:p>
    <w:p w14:paraId="2F1137E5" w14:textId="77777777" w:rsidR="00DC7FA3" w:rsidRPr="003C1E77" w:rsidRDefault="00DC7FA3" w:rsidP="00DC7FA3">
      <w:pPr>
        <w:pStyle w:val="REG-Pa"/>
        <w:rPr>
          <w:rFonts w:eastAsia="Times New Roman" w:cs="Times New Roman"/>
          <w:lang w:val="en-ZA"/>
        </w:rPr>
      </w:pPr>
    </w:p>
    <w:p w14:paraId="2FE2B82A" w14:textId="6F4C94B7" w:rsidR="00BB0446" w:rsidRDefault="00BB0446" w:rsidP="00DC7FA3">
      <w:pPr>
        <w:pStyle w:val="REG-Pa"/>
        <w:rPr>
          <w:lang w:val="en-ZA"/>
        </w:rPr>
      </w:pPr>
      <w:r w:rsidRPr="003C1E77">
        <w:rPr>
          <w:rFonts w:eastAsia="Times New Roman" w:cs="Times New Roman"/>
          <w:lang w:val="en-ZA"/>
        </w:rPr>
        <w:t xml:space="preserve">(c) </w:t>
      </w:r>
      <w:r w:rsidR="00DC7FA3">
        <w:rPr>
          <w:lang w:val="en-ZA"/>
        </w:rPr>
        <w:tab/>
      </w:r>
      <w:r w:rsidRPr="003C1E77">
        <w:rPr>
          <w:rFonts w:eastAsia="Times New Roman" w:cs="Times New Roman"/>
          <w:lang w:val="en-ZA"/>
        </w:rPr>
        <w:t>For purposes of paragraph (a), a part of a month is regarded as a full month.</w:t>
      </w:r>
    </w:p>
    <w:p w14:paraId="67F23361" w14:textId="77777777" w:rsidR="00DC7FA3" w:rsidRPr="003C1E77" w:rsidRDefault="00DC7FA3" w:rsidP="00BB0446">
      <w:pPr>
        <w:pStyle w:val="REG-P0"/>
        <w:rPr>
          <w:lang w:val="en-ZA"/>
        </w:rPr>
      </w:pPr>
    </w:p>
    <w:p w14:paraId="4144BA10" w14:textId="6EB12D7D" w:rsidR="00BB0446" w:rsidRPr="003C1E77" w:rsidRDefault="00BB0446" w:rsidP="00DC7FA3">
      <w:pPr>
        <w:pStyle w:val="REG-P1"/>
        <w:rPr>
          <w:lang w:val="en-ZA"/>
        </w:rPr>
      </w:pPr>
      <w:r w:rsidRPr="003C1E77">
        <w:rPr>
          <w:lang w:val="en-ZA"/>
        </w:rPr>
        <w:t xml:space="preserve">(4) </w:t>
      </w:r>
      <w:r w:rsidR="00DC7FA3">
        <w:rPr>
          <w:lang w:val="en-ZA"/>
        </w:rPr>
        <w:tab/>
      </w:r>
      <w:r w:rsidRPr="003C1E77">
        <w:rPr>
          <w:lang w:val="en-ZA"/>
        </w:rPr>
        <w:t>The fee payable by a licensee intending to use radio frequency spectrum in accordance</w:t>
      </w:r>
      <w:r w:rsidR="00DC7FA3">
        <w:rPr>
          <w:lang w:val="en-ZA"/>
        </w:rPr>
        <w:t xml:space="preserve"> </w:t>
      </w:r>
      <w:r w:rsidRPr="003C1E77">
        <w:rPr>
          <w:lang w:val="en-ZA"/>
        </w:rPr>
        <w:t>with item 8.5 in the Table below, is a once-off non-refundable fee as specified in item 8.5.1 or 8.5.2,</w:t>
      </w:r>
      <w:r w:rsidR="00DC7FA3">
        <w:rPr>
          <w:lang w:val="en-ZA"/>
        </w:rPr>
        <w:t xml:space="preserve"> </w:t>
      </w:r>
      <w:r w:rsidRPr="003C1E77">
        <w:rPr>
          <w:lang w:val="en-ZA"/>
        </w:rPr>
        <w:t>as the case may be.</w:t>
      </w:r>
    </w:p>
    <w:p w14:paraId="24EA0ABF" w14:textId="77777777" w:rsidR="00DA3635" w:rsidRPr="00583FBD" w:rsidRDefault="00DA3635" w:rsidP="00DA3635">
      <w:pPr>
        <w:pStyle w:val="REG-P0"/>
        <w:rPr>
          <w:b/>
        </w:rPr>
      </w:pPr>
    </w:p>
    <w:p w14:paraId="01DC7A56" w14:textId="4F779919" w:rsidR="001A666F" w:rsidRDefault="001A666F" w:rsidP="001A666F">
      <w:pPr>
        <w:pStyle w:val="REG-P0"/>
        <w:jc w:val="center"/>
        <w:rPr>
          <w:b/>
        </w:rPr>
      </w:pPr>
      <w:r w:rsidRPr="00EE1EC1">
        <w:rPr>
          <w:b/>
        </w:rPr>
        <w:t>TABLE</w:t>
      </w:r>
      <w:r>
        <w:rPr>
          <w:b/>
        </w:rPr>
        <w:t xml:space="preserve"> 1</w:t>
      </w:r>
    </w:p>
    <w:p w14:paraId="2E313FDB" w14:textId="77777777" w:rsidR="002A088E" w:rsidRDefault="00DD4E8D" w:rsidP="00DD4E8D">
      <w:pPr>
        <w:pStyle w:val="REG-Amend"/>
      </w:pPr>
      <w:r>
        <w:t>[Table 1 is substituted by General Notice 738/2023.</w:t>
      </w:r>
    </w:p>
    <w:p w14:paraId="51F62703" w14:textId="63BE5547" w:rsidR="00DD4E8D" w:rsidRDefault="002A088E" w:rsidP="002A088E">
      <w:pPr>
        <w:pStyle w:val="REG-Amend"/>
      </w:pPr>
      <w:r>
        <w:t>Minor formatting errors are corrected without annotation.</w:t>
      </w:r>
      <w:r w:rsidR="00DD4E8D">
        <w:t>]</w:t>
      </w:r>
    </w:p>
    <w:p w14:paraId="03FF3457" w14:textId="77777777" w:rsidR="001A666F" w:rsidRDefault="001A666F" w:rsidP="001A666F">
      <w:pPr>
        <w:pStyle w:val="REG-P0"/>
        <w:jc w:val="center"/>
        <w:rPr>
          <w:b/>
        </w:rPr>
      </w:pPr>
      <w:r>
        <w:rPr>
          <w:b/>
        </w:rPr>
        <w:t>SPECTRUM LICENCES, CERTIFICATES AND EXAMINATIONS FEES</w:t>
      </w:r>
    </w:p>
    <w:p w14:paraId="6633373E" w14:textId="77777777" w:rsidR="006F1F8F" w:rsidRDefault="006F1F8F" w:rsidP="001A666F">
      <w:pPr>
        <w:pStyle w:val="REG-Amend"/>
      </w:pPr>
    </w:p>
    <w:tbl>
      <w:tblPr>
        <w:tblW w:w="85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647"/>
        <w:gridCol w:w="769"/>
        <w:gridCol w:w="849"/>
        <w:gridCol w:w="4823"/>
        <w:gridCol w:w="1417"/>
      </w:tblGrid>
      <w:tr w:rsidR="001A666F" w14:paraId="658F2254" w14:textId="77777777" w:rsidTr="00F02DA4">
        <w:tc>
          <w:tcPr>
            <w:tcW w:w="7088" w:type="dxa"/>
            <w:gridSpan w:val="4"/>
            <w:tcBorders>
              <w:top w:val="single" w:sz="4" w:space="0" w:color="000000"/>
              <w:left w:val="single" w:sz="4" w:space="0" w:color="000000"/>
              <w:bottom w:val="single" w:sz="4" w:space="0" w:color="000000"/>
              <w:right w:val="single" w:sz="4" w:space="0" w:color="000000"/>
            </w:tcBorders>
            <w:hideMark/>
          </w:tcPr>
          <w:p w14:paraId="0A776E05" w14:textId="77777777" w:rsidR="001A666F" w:rsidRPr="001A666F" w:rsidRDefault="001A666F" w:rsidP="00F02DA4">
            <w:pPr>
              <w:pStyle w:val="REG-P0"/>
              <w:autoSpaceDE w:val="0"/>
              <w:autoSpaceDN w:val="0"/>
              <w:jc w:val="center"/>
              <w:rPr>
                <w:b/>
                <w:noProof w:val="0"/>
                <w:sz w:val="20"/>
                <w:szCs w:val="20"/>
                <w:lang w:val="en-US" w:eastAsia="en-US"/>
              </w:rPr>
            </w:pPr>
            <w:r w:rsidRPr="001A666F">
              <w:rPr>
                <w:b/>
                <w:sz w:val="20"/>
                <w:szCs w:val="20"/>
                <w:lang w:val="en-US" w:eastAsia="en-US"/>
              </w:rPr>
              <w:t xml:space="preserve">TYPE OF </w:t>
            </w:r>
            <w:r w:rsidRPr="001A666F">
              <w:rPr>
                <w:b/>
                <w:sz w:val="20"/>
                <w:szCs w:val="20"/>
                <w:lang w:eastAsia="en-US"/>
              </w:rPr>
              <w:t>SPECTRUM LICENCES, CERTIFICATE OR EXAMINATIONS</w:t>
            </w:r>
          </w:p>
        </w:tc>
        <w:tc>
          <w:tcPr>
            <w:tcW w:w="1417" w:type="dxa"/>
            <w:tcBorders>
              <w:top w:val="single" w:sz="4" w:space="0" w:color="000000"/>
              <w:left w:val="single" w:sz="4" w:space="0" w:color="000000"/>
              <w:bottom w:val="single" w:sz="4" w:space="0" w:color="000000"/>
              <w:right w:val="single" w:sz="4" w:space="0" w:color="000000"/>
            </w:tcBorders>
            <w:hideMark/>
          </w:tcPr>
          <w:p w14:paraId="22C4737C" w14:textId="77777777" w:rsidR="001A666F" w:rsidRPr="001A666F" w:rsidRDefault="001A666F" w:rsidP="00F02DA4">
            <w:pPr>
              <w:pStyle w:val="REG-P0"/>
              <w:autoSpaceDE w:val="0"/>
              <w:autoSpaceDN w:val="0"/>
              <w:jc w:val="center"/>
              <w:rPr>
                <w:b/>
                <w:sz w:val="20"/>
                <w:szCs w:val="20"/>
                <w:lang w:val="en-US" w:eastAsia="en-US"/>
              </w:rPr>
            </w:pPr>
            <w:r w:rsidRPr="001A666F">
              <w:rPr>
                <w:b/>
                <w:sz w:val="20"/>
                <w:szCs w:val="20"/>
                <w:lang w:val="en-US" w:eastAsia="en-US"/>
              </w:rPr>
              <w:t>FEES (N$)</w:t>
            </w:r>
          </w:p>
        </w:tc>
      </w:tr>
      <w:tr w:rsidR="006F1F8F" w14:paraId="655DDC1C"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3A17DA5" w14:textId="7E2B2F5A" w:rsidR="006F1F8F" w:rsidRPr="006F1F8F" w:rsidRDefault="006F1F8F" w:rsidP="006F1F8F">
            <w:pPr>
              <w:pStyle w:val="REG-Amend"/>
              <w:jc w:val="left"/>
              <w:rPr>
                <w:rFonts w:ascii="Times New Roman" w:hAnsi="Times New Roman" w:cs="Times New Roman"/>
                <w:color w:val="auto"/>
              </w:rPr>
            </w:pPr>
            <w:r w:rsidRPr="006F1F8F">
              <w:rPr>
                <w:rFonts w:ascii="Times New Roman" w:hAnsi="Times New Roman" w:cs="Times New Roman"/>
                <w:color w:val="auto"/>
                <w:sz w:val="20"/>
                <w:szCs w:val="20"/>
                <w:lang w:val="en-US" w:eastAsia="en-US"/>
              </w:rPr>
              <w:t>1.</w:t>
            </w:r>
            <w:r w:rsidRPr="006F1F8F">
              <w:rPr>
                <w:rFonts w:ascii="Times New Roman" w:hAnsi="Times New Roman" w:cs="Times New Roman"/>
                <w:b w:val="0"/>
                <w:color w:val="auto"/>
                <w:sz w:val="20"/>
                <w:szCs w:val="20"/>
                <w:lang w:val="en-US" w:eastAsia="en-US"/>
              </w:rPr>
              <w:t xml:space="preserve"> </w:t>
            </w:r>
            <w:r w:rsidRPr="006F1F8F">
              <w:rPr>
                <w:rFonts w:ascii="Times New Roman" w:hAnsi="Times New Roman" w:cs="Times New Roman"/>
                <w:color w:val="auto"/>
              </w:rPr>
              <w:tab/>
            </w:r>
            <w:r w:rsidRPr="006F1F8F">
              <w:rPr>
                <w:rFonts w:ascii="Times New Roman" w:hAnsi="Times New Roman" w:cs="Times New Roman"/>
                <w:color w:val="auto"/>
                <w:sz w:val="20"/>
                <w:szCs w:val="20"/>
                <w:lang w:val="en-US" w:eastAsia="en-US"/>
              </w:rPr>
              <w:t>AMATEUR RADIO</w:t>
            </w:r>
          </w:p>
        </w:tc>
      </w:tr>
      <w:tr w:rsidR="001A666F" w:rsidRPr="001A666F" w14:paraId="25D5591A"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CD20EB6"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1.1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018B5595"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All classes of amateur radio spectrum licences</w:t>
            </w:r>
          </w:p>
        </w:tc>
        <w:tc>
          <w:tcPr>
            <w:tcW w:w="1417" w:type="dxa"/>
            <w:tcBorders>
              <w:top w:val="single" w:sz="4" w:space="0" w:color="000000"/>
              <w:left w:val="single" w:sz="4" w:space="0" w:color="000000"/>
              <w:bottom w:val="single" w:sz="4" w:space="0" w:color="000000"/>
              <w:right w:val="single" w:sz="4" w:space="0" w:color="000000"/>
            </w:tcBorders>
            <w:hideMark/>
          </w:tcPr>
          <w:p w14:paraId="595ED319"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0F5C0D61"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4C7F26C"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1.2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05ABC0A7"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Beacon</w:t>
            </w:r>
          </w:p>
        </w:tc>
        <w:tc>
          <w:tcPr>
            <w:tcW w:w="1417" w:type="dxa"/>
            <w:tcBorders>
              <w:top w:val="single" w:sz="4" w:space="0" w:color="000000"/>
              <w:left w:val="single" w:sz="4" w:space="0" w:color="000000"/>
              <w:bottom w:val="single" w:sz="4" w:space="0" w:color="000000"/>
              <w:right w:val="single" w:sz="4" w:space="0" w:color="000000"/>
            </w:tcBorders>
            <w:hideMark/>
          </w:tcPr>
          <w:p w14:paraId="290A689D"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4A6F0D27"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979FA82"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1.3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378C36E0"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Examination</w:t>
            </w:r>
          </w:p>
        </w:tc>
        <w:tc>
          <w:tcPr>
            <w:tcW w:w="1417" w:type="dxa"/>
            <w:tcBorders>
              <w:top w:val="single" w:sz="4" w:space="0" w:color="000000"/>
              <w:left w:val="single" w:sz="4" w:space="0" w:color="000000"/>
              <w:bottom w:val="single" w:sz="4" w:space="0" w:color="000000"/>
              <w:right w:val="single" w:sz="4" w:space="0" w:color="000000"/>
            </w:tcBorders>
            <w:hideMark/>
          </w:tcPr>
          <w:p w14:paraId="19220D90"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4230097F"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215861B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1.4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6A98D6F"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Guest or special event spectrum licence</w:t>
            </w:r>
          </w:p>
        </w:tc>
        <w:tc>
          <w:tcPr>
            <w:tcW w:w="1417" w:type="dxa"/>
            <w:tcBorders>
              <w:top w:val="single" w:sz="4" w:space="0" w:color="000000"/>
              <w:left w:val="single" w:sz="4" w:space="0" w:color="000000"/>
              <w:bottom w:val="single" w:sz="4" w:space="0" w:color="000000"/>
              <w:right w:val="single" w:sz="4" w:space="0" w:color="000000"/>
            </w:tcBorders>
            <w:hideMark/>
          </w:tcPr>
          <w:p w14:paraId="41A3C101"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569ED01B"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7E92793"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1.5</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6A01575"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Repeater station</w:t>
            </w:r>
          </w:p>
        </w:tc>
        <w:tc>
          <w:tcPr>
            <w:tcW w:w="1417" w:type="dxa"/>
            <w:tcBorders>
              <w:top w:val="single" w:sz="4" w:space="0" w:color="000000"/>
              <w:left w:val="single" w:sz="4" w:space="0" w:color="000000"/>
              <w:bottom w:val="single" w:sz="4" w:space="0" w:color="000000"/>
              <w:right w:val="single" w:sz="4" w:space="0" w:color="000000"/>
            </w:tcBorders>
            <w:hideMark/>
          </w:tcPr>
          <w:p w14:paraId="5664084A"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6F1F8F" w:rsidRPr="001A666F" w14:paraId="71CAF7E4"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3F2B9B3" w14:textId="1631DE4A" w:rsidR="006F1F8F" w:rsidRPr="001A666F" w:rsidRDefault="006F1F8F" w:rsidP="006F1F8F">
            <w:pPr>
              <w:pStyle w:val="REG-P0"/>
              <w:autoSpaceDE w:val="0"/>
              <w:autoSpaceDN w:val="0"/>
              <w:rPr>
                <w:b/>
                <w:sz w:val="20"/>
                <w:szCs w:val="20"/>
                <w:lang w:val="en-US" w:eastAsia="en-US"/>
              </w:rPr>
            </w:pPr>
            <w:r w:rsidRPr="001A666F">
              <w:rPr>
                <w:b/>
                <w:sz w:val="20"/>
                <w:szCs w:val="20"/>
                <w:lang w:val="en-US" w:eastAsia="en-US"/>
              </w:rPr>
              <w:t>2.</w:t>
            </w:r>
            <w:r w:rsidRPr="006F1F8F">
              <w:t xml:space="preserve"> </w:t>
            </w:r>
            <w:r w:rsidRPr="006F1F8F">
              <w:tab/>
            </w:r>
            <w:r w:rsidRPr="001A666F">
              <w:rPr>
                <w:b/>
                <w:sz w:val="20"/>
                <w:szCs w:val="20"/>
                <w:lang w:val="en-US" w:eastAsia="en-US"/>
              </w:rPr>
              <w:t>AERONAUTICAL</w:t>
            </w:r>
          </w:p>
        </w:tc>
      </w:tr>
      <w:tr w:rsidR="001A666F" w:rsidRPr="001A666F" w14:paraId="3F4E5D93"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1294ED4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7660660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Aircraft station</w:t>
            </w:r>
          </w:p>
        </w:tc>
        <w:tc>
          <w:tcPr>
            <w:tcW w:w="1417" w:type="dxa"/>
            <w:tcBorders>
              <w:top w:val="single" w:sz="4" w:space="0" w:color="000000"/>
              <w:left w:val="single" w:sz="4" w:space="0" w:color="000000"/>
              <w:bottom w:val="single" w:sz="4" w:space="0" w:color="000000"/>
              <w:right w:val="single" w:sz="4" w:space="0" w:color="000000"/>
            </w:tcBorders>
            <w:hideMark/>
          </w:tcPr>
          <w:p w14:paraId="6B37308C"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222.00</w:t>
            </w:r>
          </w:p>
        </w:tc>
      </w:tr>
      <w:tr w:rsidR="001A666F" w:rsidRPr="001A666F" w14:paraId="20A2088C"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3C68ADD7"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16E1D7FE"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Glider / microlight</w:t>
            </w:r>
          </w:p>
        </w:tc>
        <w:tc>
          <w:tcPr>
            <w:tcW w:w="1417" w:type="dxa"/>
            <w:tcBorders>
              <w:top w:val="single" w:sz="4" w:space="0" w:color="000000"/>
              <w:left w:val="single" w:sz="4" w:space="0" w:color="000000"/>
              <w:bottom w:val="single" w:sz="4" w:space="0" w:color="000000"/>
              <w:right w:val="single" w:sz="4" w:space="0" w:color="000000"/>
            </w:tcBorders>
            <w:hideMark/>
          </w:tcPr>
          <w:p w14:paraId="7127D84D"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3AFFC9CE"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32E9F0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2E97A3E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Ground station</w:t>
            </w:r>
          </w:p>
        </w:tc>
        <w:tc>
          <w:tcPr>
            <w:tcW w:w="1417" w:type="dxa"/>
            <w:tcBorders>
              <w:top w:val="single" w:sz="4" w:space="0" w:color="000000"/>
              <w:left w:val="single" w:sz="4" w:space="0" w:color="000000"/>
              <w:bottom w:val="single" w:sz="4" w:space="0" w:color="000000"/>
              <w:right w:val="single" w:sz="4" w:space="0" w:color="000000"/>
            </w:tcBorders>
            <w:hideMark/>
          </w:tcPr>
          <w:p w14:paraId="0A780FB8"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133.00</w:t>
            </w:r>
          </w:p>
        </w:tc>
      </w:tr>
      <w:tr w:rsidR="001A666F" w:rsidRPr="001A666F" w14:paraId="6423C4D3"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1EDB403"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171F9835"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Navigation aids / beacons</w:t>
            </w:r>
          </w:p>
        </w:tc>
        <w:tc>
          <w:tcPr>
            <w:tcW w:w="1417" w:type="dxa"/>
            <w:tcBorders>
              <w:top w:val="single" w:sz="4" w:space="0" w:color="000000"/>
              <w:left w:val="single" w:sz="4" w:space="0" w:color="000000"/>
              <w:bottom w:val="single" w:sz="4" w:space="0" w:color="000000"/>
              <w:right w:val="single" w:sz="4" w:space="0" w:color="000000"/>
            </w:tcBorders>
            <w:hideMark/>
          </w:tcPr>
          <w:p w14:paraId="321ED6D0"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0B7542CD"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B42B5A2"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2.5</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93EDFAB"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Operator certificate radiotelephony (including duplicate)</w:t>
            </w:r>
          </w:p>
        </w:tc>
        <w:tc>
          <w:tcPr>
            <w:tcW w:w="1417" w:type="dxa"/>
            <w:tcBorders>
              <w:top w:val="single" w:sz="4" w:space="0" w:color="000000"/>
              <w:left w:val="single" w:sz="4" w:space="0" w:color="000000"/>
              <w:bottom w:val="single" w:sz="4" w:space="0" w:color="000000"/>
              <w:right w:val="single" w:sz="4" w:space="0" w:color="000000"/>
            </w:tcBorders>
            <w:hideMark/>
          </w:tcPr>
          <w:p w14:paraId="5C177877"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6F1F8F" w:rsidRPr="001A666F" w14:paraId="5ED5D364"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D22103D" w14:textId="45CE9D27" w:rsidR="006F1F8F" w:rsidRPr="001A666F" w:rsidRDefault="006F1F8F" w:rsidP="006F1F8F">
            <w:pPr>
              <w:pStyle w:val="REG-P0"/>
              <w:autoSpaceDE w:val="0"/>
              <w:autoSpaceDN w:val="0"/>
              <w:rPr>
                <w:b/>
                <w:sz w:val="20"/>
                <w:szCs w:val="20"/>
                <w:lang w:val="en-US" w:eastAsia="en-US"/>
              </w:rPr>
            </w:pPr>
            <w:r w:rsidRPr="001A666F">
              <w:rPr>
                <w:b/>
                <w:sz w:val="20"/>
                <w:szCs w:val="20"/>
                <w:lang w:val="en-US" w:eastAsia="en-US"/>
              </w:rPr>
              <w:t>3.</w:t>
            </w:r>
            <w:r>
              <w:rPr>
                <w:b/>
                <w:sz w:val="20"/>
                <w:szCs w:val="20"/>
                <w:lang w:val="en-US" w:eastAsia="en-US"/>
              </w:rPr>
              <w:t xml:space="preserve"> </w:t>
            </w:r>
            <w:r w:rsidRPr="006F1F8F">
              <w:tab/>
            </w:r>
            <w:r w:rsidRPr="001A666F">
              <w:rPr>
                <w:b/>
                <w:sz w:val="20"/>
                <w:szCs w:val="20"/>
                <w:lang w:val="en-US" w:eastAsia="en-US"/>
              </w:rPr>
              <w:t>MARITIME</w:t>
            </w:r>
          </w:p>
        </w:tc>
      </w:tr>
      <w:tr w:rsidR="001A666F" w:rsidRPr="001A666F" w14:paraId="30000F44"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C1B9E5C"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A971300"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Beacon</w:t>
            </w:r>
          </w:p>
        </w:tc>
        <w:tc>
          <w:tcPr>
            <w:tcW w:w="1417" w:type="dxa"/>
            <w:tcBorders>
              <w:top w:val="single" w:sz="4" w:space="0" w:color="000000"/>
              <w:left w:val="single" w:sz="4" w:space="0" w:color="000000"/>
              <w:bottom w:val="single" w:sz="4" w:space="0" w:color="000000"/>
              <w:right w:val="single" w:sz="4" w:space="0" w:color="000000"/>
            </w:tcBorders>
            <w:hideMark/>
          </w:tcPr>
          <w:p w14:paraId="70C0D032"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73BE4411"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D567C59"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49ED113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Operator certificate radiotelephony (including duplicate)</w:t>
            </w:r>
          </w:p>
        </w:tc>
        <w:tc>
          <w:tcPr>
            <w:tcW w:w="1417" w:type="dxa"/>
            <w:tcBorders>
              <w:top w:val="single" w:sz="4" w:space="0" w:color="000000"/>
              <w:left w:val="single" w:sz="4" w:space="0" w:color="000000"/>
              <w:bottom w:val="single" w:sz="4" w:space="0" w:color="000000"/>
              <w:right w:val="single" w:sz="4" w:space="0" w:color="000000"/>
            </w:tcBorders>
            <w:hideMark/>
          </w:tcPr>
          <w:p w14:paraId="26BB1FC3"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6891F9ED"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65464446"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3B61442"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Ship Station</w:t>
            </w:r>
          </w:p>
        </w:tc>
        <w:tc>
          <w:tcPr>
            <w:tcW w:w="1417" w:type="dxa"/>
            <w:tcBorders>
              <w:top w:val="single" w:sz="4" w:space="0" w:color="000000"/>
              <w:left w:val="single" w:sz="4" w:space="0" w:color="000000"/>
              <w:bottom w:val="single" w:sz="4" w:space="0" w:color="000000"/>
              <w:right w:val="single" w:sz="4" w:space="0" w:color="000000"/>
            </w:tcBorders>
          </w:tcPr>
          <w:p w14:paraId="0B341839" w14:textId="77777777" w:rsidR="001A666F" w:rsidRPr="001A666F" w:rsidRDefault="001A666F" w:rsidP="00F02DA4">
            <w:pPr>
              <w:pStyle w:val="REG-P0"/>
              <w:autoSpaceDE w:val="0"/>
              <w:autoSpaceDN w:val="0"/>
              <w:jc w:val="right"/>
              <w:rPr>
                <w:sz w:val="20"/>
                <w:szCs w:val="20"/>
                <w:lang w:val="en-US" w:eastAsia="en-US"/>
              </w:rPr>
            </w:pPr>
          </w:p>
        </w:tc>
      </w:tr>
      <w:tr w:rsidR="001A666F" w:rsidRPr="001A666F" w14:paraId="443273D7"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32DF448"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501394F"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3.3.1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B006CA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ITU assigned frequencies</w:t>
            </w:r>
          </w:p>
        </w:tc>
        <w:tc>
          <w:tcPr>
            <w:tcW w:w="1417" w:type="dxa"/>
            <w:tcBorders>
              <w:top w:val="single" w:sz="4" w:space="0" w:color="000000"/>
              <w:left w:val="single" w:sz="4" w:space="0" w:color="000000"/>
              <w:bottom w:val="single" w:sz="4" w:space="0" w:color="000000"/>
              <w:right w:val="single" w:sz="4" w:space="0" w:color="000000"/>
            </w:tcBorders>
            <w:hideMark/>
          </w:tcPr>
          <w:p w14:paraId="4A554485"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334.00</w:t>
            </w:r>
          </w:p>
        </w:tc>
      </w:tr>
      <w:tr w:rsidR="001A666F" w:rsidRPr="001A666F" w14:paraId="3A1F436C" w14:textId="77777777" w:rsidTr="00F02DA4">
        <w:tc>
          <w:tcPr>
            <w:tcW w:w="647" w:type="dxa"/>
            <w:tcBorders>
              <w:top w:val="single" w:sz="4" w:space="0" w:color="000000"/>
              <w:left w:val="single" w:sz="4" w:space="0" w:color="000000"/>
              <w:bottom w:val="single" w:sz="4" w:space="0" w:color="000000"/>
              <w:right w:val="single" w:sz="4" w:space="0" w:color="000000"/>
            </w:tcBorders>
          </w:tcPr>
          <w:p w14:paraId="5E92CA8F"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4071A66B"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3.3.2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30A21DF"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Any additional VHF or HF frequencies</w:t>
            </w:r>
          </w:p>
        </w:tc>
        <w:tc>
          <w:tcPr>
            <w:tcW w:w="1417" w:type="dxa"/>
            <w:tcBorders>
              <w:top w:val="single" w:sz="4" w:space="0" w:color="000000"/>
              <w:left w:val="single" w:sz="4" w:space="0" w:color="000000"/>
              <w:bottom w:val="single" w:sz="4" w:space="0" w:color="000000"/>
              <w:right w:val="single" w:sz="4" w:space="0" w:color="000000"/>
            </w:tcBorders>
            <w:hideMark/>
          </w:tcPr>
          <w:p w14:paraId="16C26166"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1,112.00</w:t>
            </w:r>
          </w:p>
        </w:tc>
      </w:tr>
      <w:tr w:rsidR="001A666F" w:rsidRPr="001A666F" w14:paraId="43E70B70"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C6A5701"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7698BA3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Coast Station</w:t>
            </w:r>
          </w:p>
        </w:tc>
        <w:tc>
          <w:tcPr>
            <w:tcW w:w="1417" w:type="dxa"/>
            <w:tcBorders>
              <w:top w:val="single" w:sz="4" w:space="0" w:color="000000"/>
              <w:left w:val="single" w:sz="4" w:space="0" w:color="000000"/>
              <w:bottom w:val="single" w:sz="4" w:space="0" w:color="000000"/>
              <w:right w:val="single" w:sz="4" w:space="0" w:color="000000"/>
            </w:tcBorders>
          </w:tcPr>
          <w:p w14:paraId="5C2CF605" w14:textId="77777777" w:rsidR="001A666F" w:rsidRPr="001A666F" w:rsidRDefault="001A666F" w:rsidP="00F02DA4">
            <w:pPr>
              <w:pStyle w:val="REG-P0"/>
              <w:autoSpaceDE w:val="0"/>
              <w:autoSpaceDN w:val="0"/>
              <w:jc w:val="right"/>
              <w:rPr>
                <w:sz w:val="20"/>
                <w:szCs w:val="20"/>
                <w:lang w:val="en-US" w:eastAsia="en-US"/>
              </w:rPr>
            </w:pPr>
          </w:p>
        </w:tc>
      </w:tr>
      <w:tr w:rsidR="001A666F" w:rsidRPr="001A666F" w14:paraId="7DB39AD5" w14:textId="77777777" w:rsidTr="00F02DA4">
        <w:tc>
          <w:tcPr>
            <w:tcW w:w="647" w:type="dxa"/>
            <w:tcBorders>
              <w:top w:val="single" w:sz="4" w:space="0" w:color="000000"/>
              <w:left w:val="single" w:sz="4" w:space="0" w:color="000000"/>
              <w:bottom w:val="single" w:sz="4" w:space="0" w:color="000000"/>
              <w:right w:val="single" w:sz="4" w:space="0" w:color="000000"/>
            </w:tcBorders>
          </w:tcPr>
          <w:p w14:paraId="11AE9790"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71F93AE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3.4.1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0156076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ITU assigned frequencies</w:t>
            </w:r>
          </w:p>
        </w:tc>
        <w:tc>
          <w:tcPr>
            <w:tcW w:w="1417" w:type="dxa"/>
            <w:tcBorders>
              <w:top w:val="single" w:sz="4" w:space="0" w:color="000000"/>
              <w:left w:val="single" w:sz="4" w:space="0" w:color="000000"/>
              <w:bottom w:val="single" w:sz="4" w:space="0" w:color="000000"/>
              <w:right w:val="single" w:sz="4" w:space="0" w:color="000000"/>
            </w:tcBorders>
            <w:hideMark/>
          </w:tcPr>
          <w:p w14:paraId="5C673044"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334.00</w:t>
            </w:r>
          </w:p>
        </w:tc>
      </w:tr>
      <w:tr w:rsidR="001A666F" w:rsidRPr="001A666F" w14:paraId="6F26E244"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E47EBE4"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8317640"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3.4.2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C9248CB"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Any additional VHF or HF frequencies</w:t>
            </w:r>
          </w:p>
        </w:tc>
        <w:tc>
          <w:tcPr>
            <w:tcW w:w="1417" w:type="dxa"/>
            <w:tcBorders>
              <w:top w:val="single" w:sz="4" w:space="0" w:color="000000"/>
              <w:left w:val="single" w:sz="4" w:space="0" w:color="000000"/>
              <w:bottom w:val="single" w:sz="4" w:space="0" w:color="000000"/>
              <w:right w:val="single" w:sz="4" w:space="0" w:color="000000"/>
            </w:tcBorders>
            <w:hideMark/>
          </w:tcPr>
          <w:p w14:paraId="12FF81E5"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1,112.00</w:t>
            </w:r>
          </w:p>
        </w:tc>
      </w:tr>
      <w:tr w:rsidR="001A666F" w:rsidRPr="001A666F" w14:paraId="691EEBB6"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1C32DC2"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77BF4A6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3.4.3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00967D4F"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Yacht and ski-boat stations</w:t>
            </w:r>
          </w:p>
        </w:tc>
        <w:tc>
          <w:tcPr>
            <w:tcW w:w="1417" w:type="dxa"/>
            <w:tcBorders>
              <w:top w:val="single" w:sz="4" w:space="0" w:color="000000"/>
              <w:left w:val="single" w:sz="4" w:space="0" w:color="000000"/>
              <w:bottom w:val="single" w:sz="4" w:space="0" w:color="000000"/>
              <w:right w:val="single" w:sz="4" w:space="0" w:color="000000"/>
            </w:tcBorders>
            <w:hideMark/>
          </w:tcPr>
          <w:p w14:paraId="2851E730"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6F1F8F" w:rsidRPr="001A666F" w14:paraId="32E6448D"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1E03F39" w14:textId="52290B8B" w:rsidR="006F1F8F" w:rsidRPr="001A666F" w:rsidRDefault="006F1F8F" w:rsidP="006F1F8F">
            <w:pPr>
              <w:pStyle w:val="REG-P0"/>
              <w:autoSpaceDE w:val="0"/>
              <w:autoSpaceDN w:val="0"/>
              <w:rPr>
                <w:b/>
                <w:sz w:val="20"/>
                <w:szCs w:val="20"/>
                <w:lang w:val="en-US" w:eastAsia="en-US"/>
              </w:rPr>
            </w:pPr>
            <w:r w:rsidRPr="001A666F">
              <w:rPr>
                <w:b/>
                <w:sz w:val="20"/>
                <w:szCs w:val="20"/>
                <w:lang w:val="en-US" w:eastAsia="en-US"/>
              </w:rPr>
              <w:t>4.</w:t>
            </w:r>
            <w:r>
              <w:rPr>
                <w:b/>
                <w:sz w:val="20"/>
                <w:szCs w:val="20"/>
                <w:lang w:val="en-US" w:eastAsia="en-US"/>
              </w:rPr>
              <w:t xml:space="preserve"> </w:t>
            </w:r>
            <w:r w:rsidRPr="006F1F8F">
              <w:tab/>
            </w:r>
            <w:r w:rsidRPr="001A666F">
              <w:rPr>
                <w:b/>
                <w:sz w:val="20"/>
                <w:szCs w:val="20"/>
                <w:lang w:val="en-US" w:eastAsia="en-US"/>
              </w:rPr>
              <w:t>LAND MOBILE SERVICE</w:t>
            </w:r>
          </w:p>
        </w:tc>
      </w:tr>
      <w:tr w:rsidR="001A666F" w:rsidRPr="001A666F" w14:paraId="237C653D"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6E09CB4"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31E88A2C"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Private alarm station (see item 6.1 for alarm systems)</w:t>
            </w:r>
          </w:p>
        </w:tc>
        <w:tc>
          <w:tcPr>
            <w:tcW w:w="1417" w:type="dxa"/>
            <w:tcBorders>
              <w:top w:val="single" w:sz="4" w:space="0" w:color="000000"/>
              <w:left w:val="single" w:sz="4" w:space="0" w:color="000000"/>
              <w:bottom w:val="single" w:sz="4" w:space="0" w:color="000000"/>
              <w:right w:val="single" w:sz="4" w:space="0" w:color="000000"/>
            </w:tcBorders>
            <w:hideMark/>
          </w:tcPr>
          <w:p w14:paraId="41097939" w14:textId="77777777" w:rsidR="001A666F" w:rsidRPr="001A666F" w:rsidRDefault="001A666F" w:rsidP="00F02DA4">
            <w:pPr>
              <w:pStyle w:val="REG-P0"/>
              <w:autoSpaceDE w:val="0"/>
              <w:autoSpaceDN w:val="0"/>
              <w:jc w:val="right"/>
              <w:rPr>
                <w:sz w:val="20"/>
                <w:szCs w:val="20"/>
                <w:highlight w:val="yellow"/>
                <w:lang w:val="en-US" w:eastAsia="en-US"/>
              </w:rPr>
            </w:pPr>
            <w:r w:rsidRPr="001A666F">
              <w:rPr>
                <w:sz w:val="20"/>
                <w:szCs w:val="20"/>
                <w:lang w:val="en-US" w:eastAsia="en-US"/>
              </w:rPr>
              <w:t>371.00</w:t>
            </w:r>
          </w:p>
        </w:tc>
      </w:tr>
      <w:tr w:rsidR="001A666F" w:rsidRPr="001A666F" w14:paraId="4266DB6E"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76448D5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3EEFBEB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Base Mobile Station</w:t>
            </w:r>
          </w:p>
        </w:tc>
        <w:tc>
          <w:tcPr>
            <w:tcW w:w="1417" w:type="dxa"/>
            <w:tcBorders>
              <w:top w:val="single" w:sz="4" w:space="0" w:color="000000"/>
              <w:left w:val="single" w:sz="4" w:space="0" w:color="000000"/>
              <w:bottom w:val="single" w:sz="4" w:space="0" w:color="000000"/>
              <w:right w:val="single" w:sz="4" w:space="0" w:color="000000"/>
            </w:tcBorders>
          </w:tcPr>
          <w:p w14:paraId="0E753B0B" w14:textId="77777777" w:rsidR="001A666F" w:rsidRPr="001A666F" w:rsidRDefault="001A666F" w:rsidP="00F02DA4">
            <w:pPr>
              <w:pStyle w:val="REG-P0"/>
              <w:autoSpaceDE w:val="0"/>
              <w:autoSpaceDN w:val="0"/>
              <w:jc w:val="right"/>
              <w:rPr>
                <w:sz w:val="20"/>
                <w:szCs w:val="20"/>
                <w:highlight w:val="yellow"/>
                <w:lang w:val="en-US" w:eastAsia="en-US"/>
              </w:rPr>
            </w:pPr>
          </w:p>
        </w:tc>
      </w:tr>
      <w:tr w:rsidR="001A666F" w:rsidRPr="001A666F" w14:paraId="36975C23" w14:textId="77777777" w:rsidTr="00F02DA4">
        <w:tc>
          <w:tcPr>
            <w:tcW w:w="647" w:type="dxa"/>
            <w:tcBorders>
              <w:top w:val="single" w:sz="4" w:space="0" w:color="000000"/>
              <w:left w:val="single" w:sz="4" w:space="0" w:color="000000"/>
              <w:bottom w:val="single" w:sz="4" w:space="0" w:color="000000"/>
              <w:right w:val="single" w:sz="4" w:space="0" w:color="000000"/>
            </w:tcBorders>
          </w:tcPr>
          <w:p w14:paraId="7EFCDAE8"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4566EF37"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4.2.1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18F3F16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27/29 MHz band (including CB band)</w:t>
            </w:r>
          </w:p>
        </w:tc>
        <w:tc>
          <w:tcPr>
            <w:tcW w:w="1417" w:type="dxa"/>
            <w:tcBorders>
              <w:top w:val="single" w:sz="4" w:space="0" w:color="000000"/>
              <w:left w:val="single" w:sz="4" w:space="0" w:color="000000"/>
              <w:bottom w:val="single" w:sz="4" w:space="0" w:color="000000"/>
              <w:right w:val="single" w:sz="4" w:space="0" w:color="000000"/>
            </w:tcBorders>
            <w:hideMark/>
          </w:tcPr>
          <w:p w14:paraId="61814094"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112.00</w:t>
            </w:r>
          </w:p>
        </w:tc>
      </w:tr>
      <w:tr w:rsidR="001A666F" w:rsidRPr="001A666F" w14:paraId="03CCAFDF"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7B6738B"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D7B8A9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4.2.2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781912F"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VHF/UHF per simplex frequency in urban areas</w:t>
            </w:r>
          </w:p>
        </w:tc>
        <w:tc>
          <w:tcPr>
            <w:tcW w:w="1417" w:type="dxa"/>
            <w:tcBorders>
              <w:top w:val="single" w:sz="4" w:space="0" w:color="000000"/>
              <w:left w:val="single" w:sz="4" w:space="0" w:color="000000"/>
              <w:bottom w:val="single" w:sz="4" w:space="0" w:color="000000"/>
              <w:right w:val="single" w:sz="4" w:space="0" w:color="000000"/>
            </w:tcBorders>
            <w:hideMark/>
          </w:tcPr>
          <w:p w14:paraId="70ABA458"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222.00</w:t>
            </w:r>
          </w:p>
        </w:tc>
      </w:tr>
      <w:tr w:rsidR="001A666F" w:rsidRPr="001A666F" w14:paraId="1FA7EDF7" w14:textId="77777777" w:rsidTr="00F02DA4">
        <w:tc>
          <w:tcPr>
            <w:tcW w:w="647" w:type="dxa"/>
            <w:tcBorders>
              <w:top w:val="single" w:sz="4" w:space="0" w:color="000000"/>
              <w:left w:val="single" w:sz="4" w:space="0" w:color="000000"/>
              <w:bottom w:val="single" w:sz="4" w:space="0" w:color="000000"/>
              <w:right w:val="single" w:sz="4" w:space="0" w:color="000000"/>
            </w:tcBorders>
          </w:tcPr>
          <w:p w14:paraId="5E83A0B4"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7AB8F70C"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4.2.3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4EA8983"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VHF/UHF per simplex frequency in non-urban areas</w:t>
            </w:r>
          </w:p>
        </w:tc>
        <w:tc>
          <w:tcPr>
            <w:tcW w:w="1417" w:type="dxa"/>
            <w:tcBorders>
              <w:top w:val="single" w:sz="4" w:space="0" w:color="000000"/>
              <w:left w:val="single" w:sz="4" w:space="0" w:color="000000"/>
              <w:bottom w:val="single" w:sz="4" w:space="0" w:color="000000"/>
              <w:right w:val="single" w:sz="4" w:space="0" w:color="000000"/>
            </w:tcBorders>
            <w:hideMark/>
          </w:tcPr>
          <w:p w14:paraId="54AA2DB2"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133.00</w:t>
            </w:r>
          </w:p>
        </w:tc>
      </w:tr>
      <w:tr w:rsidR="001A666F" w:rsidRPr="001A666F" w14:paraId="4B310C3B"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860F094"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09FA1B10"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Repeater (private and exclusive)</w:t>
            </w:r>
          </w:p>
        </w:tc>
        <w:tc>
          <w:tcPr>
            <w:tcW w:w="1417" w:type="dxa"/>
            <w:tcBorders>
              <w:top w:val="single" w:sz="4" w:space="0" w:color="000000"/>
              <w:left w:val="single" w:sz="4" w:space="0" w:color="000000"/>
              <w:bottom w:val="single" w:sz="4" w:space="0" w:color="000000"/>
              <w:right w:val="single" w:sz="4" w:space="0" w:color="000000"/>
            </w:tcBorders>
          </w:tcPr>
          <w:p w14:paraId="5AECD841" w14:textId="77777777" w:rsidR="001A666F" w:rsidRPr="001A666F" w:rsidRDefault="001A666F" w:rsidP="00F02DA4">
            <w:pPr>
              <w:pStyle w:val="REG-P0"/>
              <w:autoSpaceDE w:val="0"/>
              <w:autoSpaceDN w:val="0"/>
              <w:jc w:val="right"/>
              <w:rPr>
                <w:sz w:val="20"/>
                <w:szCs w:val="20"/>
                <w:lang w:val="en-US" w:eastAsia="en-US"/>
              </w:rPr>
            </w:pPr>
          </w:p>
        </w:tc>
      </w:tr>
      <w:tr w:rsidR="001A666F" w:rsidRPr="001A666F" w14:paraId="4CCB366B"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3AF0C60"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D7A89A7"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4.3.1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40FFB026"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Duplex frequency urban areas</w:t>
            </w:r>
          </w:p>
        </w:tc>
        <w:tc>
          <w:tcPr>
            <w:tcW w:w="1417" w:type="dxa"/>
            <w:tcBorders>
              <w:top w:val="single" w:sz="4" w:space="0" w:color="000000"/>
              <w:left w:val="single" w:sz="4" w:space="0" w:color="000000"/>
              <w:bottom w:val="single" w:sz="4" w:space="0" w:color="000000"/>
              <w:right w:val="single" w:sz="4" w:space="0" w:color="000000"/>
            </w:tcBorders>
            <w:hideMark/>
          </w:tcPr>
          <w:p w14:paraId="2C156B89"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2,448.00</w:t>
            </w:r>
          </w:p>
        </w:tc>
      </w:tr>
      <w:tr w:rsidR="001A666F" w:rsidRPr="001A666F" w14:paraId="48ADCA3A" w14:textId="77777777" w:rsidTr="00F02DA4">
        <w:tc>
          <w:tcPr>
            <w:tcW w:w="647" w:type="dxa"/>
            <w:tcBorders>
              <w:top w:val="single" w:sz="4" w:space="0" w:color="000000"/>
              <w:left w:val="single" w:sz="4" w:space="0" w:color="000000"/>
              <w:bottom w:val="single" w:sz="4" w:space="0" w:color="000000"/>
              <w:right w:val="single" w:sz="4" w:space="0" w:color="000000"/>
            </w:tcBorders>
          </w:tcPr>
          <w:p w14:paraId="2AF383EF"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B19323A"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4.3.2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0A8C311"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Duplex frequency non-urban areas</w:t>
            </w:r>
          </w:p>
        </w:tc>
        <w:tc>
          <w:tcPr>
            <w:tcW w:w="1417" w:type="dxa"/>
            <w:tcBorders>
              <w:top w:val="single" w:sz="4" w:space="0" w:color="000000"/>
              <w:left w:val="single" w:sz="4" w:space="0" w:color="000000"/>
              <w:bottom w:val="single" w:sz="4" w:space="0" w:color="000000"/>
              <w:right w:val="single" w:sz="4" w:space="0" w:color="000000"/>
            </w:tcBorders>
            <w:hideMark/>
          </w:tcPr>
          <w:p w14:paraId="155067E0"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890.00</w:t>
            </w:r>
          </w:p>
        </w:tc>
      </w:tr>
      <w:tr w:rsidR="001A666F" w:rsidRPr="001A666F" w14:paraId="2013D8E5"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E33E258"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377F2A8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4.3.3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490423C"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Simplex frequency (Parrot repeater)</w:t>
            </w:r>
          </w:p>
        </w:tc>
        <w:tc>
          <w:tcPr>
            <w:tcW w:w="1417" w:type="dxa"/>
            <w:tcBorders>
              <w:top w:val="single" w:sz="4" w:space="0" w:color="000000"/>
              <w:left w:val="single" w:sz="4" w:space="0" w:color="000000"/>
              <w:bottom w:val="single" w:sz="4" w:space="0" w:color="000000"/>
              <w:right w:val="single" w:sz="4" w:space="0" w:color="000000"/>
            </w:tcBorders>
            <w:hideMark/>
          </w:tcPr>
          <w:p w14:paraId="4D49B78F"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401.00</w:t>
            </w:r>
          </w:p>
        </w:tc>
      </w:tr>
      <w:tr w:rsidR="001A666F" w:rsidRPr="001A666F" w14:paraId="2FD99B49"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4748AE8"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7601A538"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4.3.4</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382C455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Any additional simplex frequency (per frequency)</w:t>
            </w:r>
          </w:p>
        </w:tc>
        <w:tc>
          <w:tcPr>
            <w:tcW w:w="1417" w:type="dxa"/>
            <w:tcBorders>
              <w:top w:val="single" w:sz="4" w:space="0" w:color="000000"/>
              <w:left w:val="single" w:sz="4" w:space="0" w:color="000000"/>
              <w:bottom w:val="single" w:sz="4" w:space="0" w:color="000000"/>
              <w:right w:val="single" w:sz="4" w:space="0" w:color="000000"/>
            </w:tcBorders>
            <w:hideMark/>
          </w:tcPr>
          <w:p w14:paraId="156DC98B"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222.00</w:t>
            </w:r>
          </w:p>
        </w:tc>
      </w:tr>
      <w:tr w:rsidR="001A666F" w:rsidRPr="001A666F" w14:paraId="1E494477"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A27056D"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608127E"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Experimental Station</w:t>
            </w:r>
          </w:p>
        </w:tc>
        <w:tc>
          <w:tcPr>
            <w:tcW w:w="1417" w:type="dxa"/>
            <w:tcBorders>
              <w:top w:val="single" w:sz="4" w:space="0" w:color="000000"/>
              <w:left w:val="single" w:sz="4" w:space="0" w:color="000000"/>
              <w:bottom w:val="single" w:sz="4" w:space="0" w:color="000000"/>
              <w:right w:val="single" w:sz="4" w:space="0" w:color="000000"/>
            </w:tcBorders>
          </w:tcPr>
          <w:p w14:paraId="0EBA5B32" w14:textId="77777777" w:rsidR="001A666F" w:rsidRPr="001A666F" w:rsidRDefault="001A666F" w:rsidP="00F02DA4">
            <w:pPr>
              <w:pStyle w:val="REG-P0"/>
              <w:autoSpaceDE w:val="0"/>
              <w:autoSpaceDN w:val="0"/>
              <w:jc w:val="right"/>
              <w:rPr>
                <w:sz w:val="20"/>
                <w:szCs w:val="20"/>
                <w:lang w:val="en-US" w:eastAsia="en-US"/>
              </w:rPr>
            </w:pPr>
          </w:p>
        </w:tc>
      </w:tr>
      <w:tr w:rsidR="001A666F" w:rsidRPr="001A666F" w14:paraId="327C9110" w14:textId="77777777" w:rsidTr="00F02DA4">
        <w:tc>
          <w:tcPr>
            <w:tcW w:w="647" w:type="dxa"/>
            <w:tcBorders>
              <w:top w:val="single" w:sz="4" w:space="0" w:color="000000"/>
              <w:left w:val="single" w:sz="4" w:space="0" w:color="000000"/>
              <w:bottom w:val="single" w:sz="4" w:space="0" w:color="000000"/>
              <w:right w:val="single" w:sz="4" w:space="0" w:color="000000"/>
            </w:tcBorders>
          </w:tcPr>
          <w:p w14:paraId="7BD43EA7" w14:textId="77777777" w:rsidR="001A666F" w:rsidRPr="001A666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18747A11"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4.4.1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477B9925" w14:textId="77777777" w:rsidR="001A666F" w:rsidRPr="001A666F" w:rsidRDefault="001A666F" w:rsidP="00F02DA4">
            <w:pPr>
              <w:pStyle w:val="REG-P0"/>
              <w:autoSpaceDE w:val="0"/>
              <w:autoSpaceDN w:val="0"/>
              <w:jc w:val="left"/>
              <w:rPr>
                <w:sz w:val="20"/>
                <w:szCs w:val="20"/>
                <w:lang w:val="en-US" w:eastAsia="en-US"/>
              </w:rPr>
            </w:pPr>
            <w:r w:rsidRPr="001A666F">
              <w:rPr>
                <w:sz w:val="20"/>
                <w:szCs w:val="20"/>
                <w:lang w:val="en-US" w:eastAsia="en-US"/>
              </w:rPr>
              <w:t>Experimental station valid for 6 months</w:t>
            </w:r>
          </w:p>
        </w:tc>
        <w:tc>
          <w:tcPr>
            <w:tcW w:w="1417" w:type="dxa"/>
            <w:tcBorders>
              <w:top w:val="single" w:sz="4" w:space="0" w:color="000000"/>
              <w:left w:val="single" w:sz="4" w:space="0" w:color="000000"/>
              <w:bottom w:val="single" w:sz="4" w:space="0" w:color="000000"/>
              <w:right w:val="single" w:sz="4" w:space="0" w:color="000000"/>
            </w:tcBorders>
            <w:hideMark/>
          </w:tcPr>
          <w:p w14:paraId="6BAEF868" w14:textId="77777777" w:rsidR="001A666F" w:rsidRPr="001A666F" w:rsidRDefault="001A666F" w:rsidP="00F02DA4">
            <w:pPr>
              <w:pStyle w:val="REG-P0"/>
              <w:autoSpaceDE w:val="0"/>
              <w:autoSpaceDN w:val="0"/>
              <w:jc w:val="right"/>
              <w:rPr>
                <w:sz w:val="20"/>
                <w:szCs w:val="20"/>
                <w:lang w:val="en-US" w:eastAsia="en-US"/>
              </w:rPr>
            </w:pPr>
            <w:r w:rsidRPr="001A666F">
              <w:rPr>
                <w:sz w:val="20"/>
                <w:szCs w:val="20"/>
                <w:lang w:val="en-US" w:eastAsia="en-US"/>
              </w:rPr>
              <w:t>222.00</w:t>
            </w:r>
          </w:p>
        </w:tc>
      </w:tr>
      <w:tr w:rsidR="001A666F" w:rsidRPr="001A666F" w14:paraId="3CABB708"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6FD5E036" w14:textId="77777777" w:rsidR="001A666F" w:rsidRPr="00584D9B" w:rsidRDefault="001A666F" w:rsidP="00F02DA4">
            <w:pPr>
              <w:pStyle w:val="REG-P0"/>
              <w:autoSpaceDE w:val="0"/>
              <w:autoSpaceDN w:val="0"/>
              <w:jc w:val="left"/>
              <w:rPr>
                <w:sz w:val="20"/>
                <w:lang w:val="en-US" w:eastAsia="en-US"/>
              </w:rPr>
            </w:pPr>
            <w:r w:rsidRPr="00584D9B">
              <w:rPr>
                <w:sz w:val="20"/>
                <w:lang w:val="en-US" w:eastAsia="en-US"/>
              </w:rPr>
              <w:t>4.6</w:t>
            </w:r>
          </w:p>
          <w:p w14:paraId="7B0769CE" w14:textId="3312FC8A" w:rsidR="001A666F" w:rsidRDefault="001A666F" w:rsidP="006F1F8F">
            <w:pPr>
              <w:pStyle w:val="REG-P0"/>
              <w:autoSpaceDE w:val="0"/>
              <w:autoSpaceDN w:val="0"/>
              <w:jc w:val="left"/>
              <w:rPr>
                <w:lang w:val="en-US" w:eastAsia="en-US"/>
              </w:rPr>
            </w:pPr>
            <w:r w:rsidRPr="00736000">
              <w:rPr>
                <w:color w:val="00B050"/>
                <w:sz w:val="14"/>
                <w:lang w:val="en-US" w:eastAsia="en-US"/>
              </w:rPr>
              <w:t>[</w:t>
            </w:r>
            <w:r w:rsidR="006F1F8F">
              <w:rPr>
                <w:color w:val="00B050"/>
                <w:sz w:val="14"/>
                <w:lang w:val="en-US" w:eastAsia="en-US"/>
              </w:rPr>
              <w:t xml:space="preserve">number-ed as </w:t>
            </w:r>
            <w:r w:rsidRPr="00736000">
              <w:rPr>
                <w:color w:val="00B050"/>
                <w:sz w:val="14"/>
                <w:lang w:val="en-US" w:eastAsia="en-US"/>
              </w:rPr>
              <w:t xml:space="preserve">in </w:t>
            </w:r>
            <w:r w:rsidRPr="00736000">
              <w:rPr>
                <w:i/>
                <w:color w:val="00B050"/>
                <w:sz w:val="14"/>
                <w:lang w:val="en-US" w:eastAsia="en-US"/>
              </w:rPr>
              <w:t>Gazette</w:t>
            </w:r>
            <w:r w:rsidRPr="00736000">
              <w:rPr>
                <w:color w:val="00B050"/>
                <w:sz w:val="14"/>
                <w:lang w:val="en-US" w:eastAsia="en-US"/>
              </w:rPr>
              <w:t>]</w:t>
            </w:r>
          </w:p>
        </w:tc>
        <w:tc>
          <w:tcPr>
            <w:tcW w:w="769" w:type="dxa"/>
            <w:tcBorders>
              <w:top w:val="single" w:sz="4" w:space="0" w:color="000000"/>
              <w:left w:val="single" w:sz="4" w:space="0" w:color="000000"/>
              <w:bottom w:val="single" w:sz="4" w:space="0" w:color="000000"/>
              <w:right w:val="single" w:sz="4" w:space="0" w:color="000000"/>
            </w:tcBorders>
          </w:tcPr>
          <w:p w14:paraId="6672FD25" w14:textId="77777777" w:rsidR="001A666F" w:rsidRDefault="001A666F" w:rsidP="00F02DA4">
            <w:pPr>
              <w:pStyle w:val="REG-P0"/>
              <w:autoSpaceDE w:val="0"/>
              <w:autoSpaceDN w:val="0"/>
              <w:jc w:val="left"/>
              <w:rPr>
                <w:lang w:val="en-US" w:eastAsia="en-US"/>
              </w:rPr>
            </w:pP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4665147" w14:textId="77777777" w:rsidR="001A666F" w:rsidRDefault="001A666F" w:rsidP="00F02DA4">
            <w:pPr>
              <w:pStyle w:val="REG-P0"/>
              <w:autoSpaceDE w:val="0"/>
              <w:autoSpaceDN w:val="0"/>
              <w:jc w:val="left"/>
              <w:rPr>
                <w:lang w:val="en-US" w:eastAsia="en-US"/>
              </w:rPr>
            </w:pPr>
            <w:r w:rsidRPr="00584D9B">
              <w:rPr>
                <w:sz w:val="20"/>
                <w:lang w:val="en-US" w:eastAsia="en-US"/>
              </w:rPr>
              <w:t>National Occupancy (Base Mobile Station)</w:t>
            </w:r>
          </w:p>
        </w:tc>
        <w:tc>
          <w:tcPr>
            <w:tcW w:w="1417" w:type="dxa"/>
            <w:tcBorders>
              <w:top w:val="single" w:sz="4" w:space="0" w:color="000000"/>
              <w:left w:val="single" w:sz="4" w:space="0" w:color="000000"/>
              <w:bottom w:val="single" w:sz="4" w:space="0" w:color="000000"/>
              <w:right w:val="single" w:sz="4" w:space="0" w:color="000000"/>
            </w:tcBorders>
          </w:tcPr>
          <w:p w14:paraId="4448ECA8" w14:textId="77777777" w:rsidR="001A666F" w:rsidRPr="001A666F" w:rsidRDefault="001A666F" w:rsidP="00F02DA4">
            <w:pPr>
              <w:pStyle w:val="REG-P0"/>
              <w:autoSpaceDE w:val="0"/>
              <w:autoSpaceDN w:val="0"/>
              <w:jc w:val="right"/>
              <w:rPr>
                <w:sz w:val="20"/>
                <w:szCs w:val="20"/>
                <w:lang w:val="en-US" w:eastAsia="en-US"/>
              </w:rPr>
            </w:pPr>
          </w:p>
        </w:tc>
      </w:tr>
      <w:tr w:rsidR="001A666F" w:rsidRPr="006F1F8F" w14:paraId="0EF595FB" w14:textId="77777777" w:rsidTr="00F02DA4">
        <w:tc>
          <w:tcPr>
            <w:tcW w:w="647" w:type="dxa"/>
            <w:tcBorders>
              <w:top w:val="single" w:sz="4" w:space="0" w:color="000000"/>
              <w:left w:val="single" w:sz="4" w:space="0" w:color="000000"/>
              <w:bottom w:val="single" w:sz="4" w:space="0" w:color="000000"/>
              <w:right w:val="single" w:sz="4" w:space="0" w:color="000000"/>
            </w:tcBorders>
          </w:tcPr>
          <w:p w14:paraId="22998B1F"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777AD63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4.6.1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3E79C1E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Not shared</w:t>
            </w:r>
          </w:p>
        </w:tc>
        <w:tc>
          <w:tcPr>
            <w:tcW w:w="1417" w:type="dxa"/>
            <w:tcBorders>
              <w:top w:val="single" w:sz="4" w:space="0" w:color="000000"/>
              <w:left w:val="single" w:sz="4" w:space="0" w:color="000000"/>
              <w:bottom w:val="single" w:sz="4" w:space="0" w:color="000000"/>
              <w:right w:val="single" w:sz="4" w:space="0" w:color="000000"/>
            </w:tcBorders>
            <w:hideMark/>
          </w:tcPr>
          <w:p w14:paraId="6011339A"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1,780.00</w:t>
            </w:r>
          </w:p>
        </w:tc>
      </w:tr>
      <w:tr w:rsidR="001A666F" w:rsidRPr="006F1F8F" w14:paraId="2AF076A4" w14:textId="77777777" w:rsidTr="00F02DA4">
        <w:tc>
          <w:tcPr>
            <w:tcW w:w="647" w:type="dxa"/>
            <w:tcBorders>
              <w:top w:val="single" w:sz="4" w:space="0" w:color="000000"/>
              <w:left w:val="single" w:sz="4" w:space="0" w:color="000000"/>
              <w:bottom w:val="single" w:sz="4" w:space="0" w:color="000000"/>
              <w:right w:val="single" w:sz="4" w:space="0" w:color="000000"/>
            </w:tcBorders>
          </w:tcPr>
          <w:p w14:paraId="7E877B66"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2E95E141"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4.6.2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46EF555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Shared</w:t>
            </w:r>
          </w:p>
        </w:tc>
        <w:tc>
          <w:tcPr>
            <w:tcW w:w="1417" w:type="dxa"/>
            <w:tcBorders>
              <w:top w:val="single" w:sz="4" w:space="0" w:color="000000"/>
              <w:left w:val="single" w:sz="4" w:space="0" w:color="000000"/>
              <w:bottom w:val="single" w:sz="4" w:space="0" w:color="000000"/>
              <w:right w:val="single" w:sz="4" w:space="0" w:color="000000"/>
            </w:tcBorders>
            <w:hideMark/>
          </w:tcPr>
          <w:p w14:paraId="66AA3642"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222.00</w:t>
            </w:r>
          </w:p>
        </w:tc>
      </w:tr>
      <w:tr w:rsidR="006F1F8F" w:rsidRPr="006F1F8F" w14:paraId="0A957747"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CBD05D4" w14:textId="00F5A327" w:rsidR="006F1F8F" w:rsidRPr="006F1F8F" w:rsidRDefault="006F1F8F" w:rsidP="006F1F8F">
            <w:pPr>
              <w:pStyle w:val="REG-P0"/>
              <w:autoSpaceDE w:val="0"/>
              <w:autoSpaceDN w:val="0"/>
              <w:rPr>
                <w:b/>
                <w:sz w:val="20"/>
                <w:szCs w:val="20"/>
                <w:highlight w:val="yellow"/>
                <w:lang w:val="en-US" w:eastAsia="en-US"/>
              </w:rPr>
            </w:pPr>
            <w:r w:rsidRPr="006F1F8F">
              <w:rPr>
                <w:b/>
                <w:sz w:val="20"/>
                <w:szCs w:val="20"/>
                <w:lang w:val="en-US" w:eastAsia="en-US"/>
              </w:rPr>
              <w:t>5.</w:t>
            </w:r>
            <w:r w:rsidRPr="006F1F8F">
              <w:t xml:space="preserve"> </w:t>
            </w:r>
            <w:r w:rsidRPr="006F1F8F">
              <w:tab/>
            </w:r>
            <w:r w:rsidRPr="006F1F8F">
              <w:rPr>
                <w:b/>
                <w:sz w:val="20"/>
                <w:szCs w:val="20"/>
                <w:lang w:val="en-US" w:eastAsia="en-US"/>
              </w:rPr>
              <w:t>HIGH FREQUENCY (HF) RADIO</w:t>
            </w:r>
          </w:p>
        </w:tc>
      </w:tr>
      <w:tr w:rsidR="001A666F" w:rsidRPr="006F1F8F" w14:paraId="65690705"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230D896E"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5.1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95E01F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Fixed/mobile Station</w:t>
            </w:r>
          </w:p>
        </w:tc>
        <w:tc>
          <w:tcPr>
            <w:tcW w:w="1417" w:type="dxa"/>
            <w:tcBorders>
              <w:top w:val="single" w:sz="4" w:space="0" w:color="000000"/>
              <w:left w:val="single" w:sz="4" w:space="0" w:color="000000"/>
              <w:bottom w:val="single" w:sz="4" w:space="0" w:color="000000"/>
              <w:right w:val="single" w:sz="4" w:space="0" w:color="000000"/>
            </w:tcBorders>
            <w:hideMark/>
          </w:tcPr>
          <w:p w14:paraId="067F86F5"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334.00</w:t>
            </w:r>
          </w:p>
        </w:tc>
      </w:tr>
      <w:tr w:rsidR="001A666F" w:rsidRPr="006F1F8F" w14:paraId="0076C325"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93F367E"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5.2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91A33E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Fixed radio station above 400Watt</w:t>
            </w:r>
          </w:p>
        </w:tc>
        <w:tc>
          <w:tcPr>
            <w:tcW w:w="1417" w:type="dxa"/>
            <w:tcBorders>
              <w:top w:val="single" w:sz="4" w:space="0" w:color="000000"/>
              <w:left w:val="single" w:sz="4" w:space="0" w:color="000000"/>
              <w:bottom w:val="single" w:sz="4" w:space="0" w:color="000000"/>
              <w:right w:val="single" w:sz="4" w:space="0" w:color="000000"/>
            </w:tcBorders>
            <w:hideMark/>
          </w:tcPr>
          <w:p w14:paraId="5D46CEC2"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2,225.00</w:t>
            </w:r>
          </w:p>
        </w:tc>
      </w:tr>
      <w:tr w:rsidR="006F1F8F" w:rsidRPr="006F1F8F" w14:paraId="3958CCE1" w14:textId="77777777" w:rsidTr="00F02DA4">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CFE7845" w14:textId="1FB49D16" w:rsidR="006F1F8F" w:rsidRPr="006F1F8F" w:rsidRDefault="006F1F8F" w:rsidP="006F1F8F">
            <w:pPr>
              <w:pStyle w:val="REG-P0"/>
              <w:autoSpaceDE w:val="0"/>
              <w:autoSpaceDN w:val="0"/>
              <w:rPr>
                <w:b/>
                <w:sz w:val="20"/>
                <w:szCs w:val="20"/>
                <w:lang w:val="en-US" w:eastAsia="en-US"/>
              </w:rPr>
            </w:pPr>
            <w:r w:rsidRPr="006F1F8F">
              <w:rPr>
                <w:b/>
                <w:sz w:val="20"/>
                <w:szCs w:val="20"/>
                <w:lang w:val="en-US" w:eastAsia="en-US"/>
              </w:rPr>
              <w:t>6.</w:t>
            </w:r>
            <w:r w:rsidRPr="006F1F8F">
              <w:t xml:space="preserve"> </w:t>
            </w:r>
            <w:r w:rsidRPr="006F1F8F">
              <w:tab/>
            </w:r>
            <w:r w:rsidRPr="006F1F8F">
              <w:rPr>
                <w:b/>
                <w:sz w:val="20"/>
                <w:szCs w:val="20"/>
                <w:lang w:val="en-US" w:eastAsia="en-US"/>
              </w:rPr>
              <w:t>RADIO COMMUNICATIONS SYSTEMS</w:t>
            </w:r>
          </w:p>
        </w:tc>
      </w:tr>
      <w:tr w:rsidR="001A666F" w:rsidRPr="006F1F8F" w14:paraId="5AF242A9"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1EB8971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2A897F3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Alarm</w:t>
            </w:r>
          </w:p>
        </w:tc>
        <w:tc>
          <w:tcPr>
            <w:tcW w:w="1417" w:type="dxa"/>
            <w:tcBorders>
              <w:top w:val="single" w:sz="4" w:space="0" w:color="000000"/>
              <w:left w:val="single" w:sz="4" w:space="0" w:color="000000"/>
              <w:bottom w:val="single" w:sz="4" w:space="0" w:color="000000"/>
              <w:right w:val="single" w:sz="4" w:space="0" w:color="000000"/>
            </w:tcBorders>
          </w:tcPr>
          <w:p w14:paraId="77E302E0" w14:textId="77777777" w:rsidR="001A666F" w:rsidRPr="006F1F8F" w:rsidRDefault="001A666F" w:rsidP="00F02DA4">
            <w:pPr>
              <w:pStyle w:val="REG-P0"/>
              <w:autoSpaceDE w:val="0"/>
              <w:autoSpaceDN w:val="0"/>
              <w:jc w:val="right"/>
              <w:rPr>
                <w:sz w:val="20"/>
                <w:szCs w:val="20"/>
                <w:highlight w:val="yellow"/>
                <w:lang w:val="en-US" w:eastAsia="en-US"/>
              </w:rPr>
            </w:pPr>
          </w:p>
        </w:tc>
      </w:tr>
      <w:tr w:rsidR="001A666F" w:rsidRPr="006F1F8F" w14:paraId="4A3B8327" w14:textId="77777777" w:rsidTr="00F02DA4">
        <w:tc>
          <w:tcPr>
            <w:tcW w:w="647" w:type="dxa"/>
            <w:tcBorders>
              <w:top w:val="single" w:sz="4" w:space="0" w:color="000000"/>
              <w:left w:val="single" w:sz="4" w:space="0" w:color="000000"/>
              <w:bottom w:val="single" w:sz="4" w:space="0" w:color="000000"/>
              <w:right w:val="single" w:sz="4" w:space="0" w:color="000000"/>
            </w:tcBorders>
          </w:tcPr>
          <w:p w14:paraId="1AF42DD4"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248EEF1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6.1.1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1A770D5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Urban complexes (per control room and per frequency)</w:t>
            </w:r>
          </w:p>
        </w:tc>
        <w:tc>
          <w:tcPr>
            <w:tcW w:w="1417" w:type="dxa"/>
            <w:tcBorders>
              <w:top w:val="single" w:sz="4" w:space="0" w:color="000000"/>
              <w:left w:val="single" w:sz="4" w:space="0" w:color="000000"/>
              <w:bottom w:val="single" w:sz="4" w:space="0" w:color="000000"/>
              <w:right w:val="single" w:sz="4" w:space="0" w:color="000000"/>
            </w:tcBorders>
            <w:hideMark/>
          </w:tcPr>
          <w:p w14:paraId="6448719D" w14:textId="77777777" w:rsidR="001A666F" w:rsidRPr="006F1F8F" w:rsidRDefault="001A666F" w:rsidP="00F02DA4">
            <w:pPr>
              <w:pStyle w:val="REG-P0"/>
              <w:autoSpaceDE w:val="0"/>
              <w:autoSpaceDN w:val="0"/>
              <w:jc w:val="right"/>
              <w:rPr>
                <w:sz w:val="20"/>
                <w:szCs w:val="20"/>
                <w:highlight w:val="yellow"/>
                <w:lang w:val="en-US" w:eastAsia="en-US"/>
              </w:rPr>
            </w:pPr>
            <w:r w:rsidRPr="006F1F8F">
              <w:rPr>
                <w:sz w:val="20"/>
                <w:szCs w:val="20"/>
                <w:lang w:val="en-US" w:eastAsia="en-US"/>
              </w:rPr>
              <w:t>7,417.00</w:t>
            </w:r>
          </w:p>
        </w:tc>
      </w:tr>
      <w:tr w:rsidR="001A666F" w:rsidRPr="006F1F8F" w14:paraId="1AC366E3"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8235751"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2ED9AAB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6.1.2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F765A8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All other areas (per control room and per frequency)</w:t>
            </w:r>
          </w:p>
        </w:tc>
        <w:tc>
          <w:tcPr>
            <w:tcW w:w="1417" w:type="dxa"/>
            <w:tcBorders>
              <w:top w:val="single" w:sz="4" w:space="0" w:color="000000"/>
              <w:left w:val="single" w:sz="4" w:space="0" w:color="000000"/>
              <w:bottom w:val="single" w:sz="4" w:space="0" w:color="000000"/>
              <w:right w:val="single" w:sz="4" w:space="0" w:color="000000"/>
            </w:tcBorders>
            <w:hideMark/>
          </w:tcPr>
          <w:p w14:paraId="2A7D0F5F"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1,854.00</w:t>
            </w:r>
          </w:p>
        </w:tc>
      </w:tr>
      <w:tr w:rsidR="001A666F" w:rsidRPr="006F1F8F" w14:paraId="0577A971"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54ECED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4B6290D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Load management (including telemetry)</w:t>
            </w:r>
          </w:p>
        </w:tc>
        <w:tc>
          <w:tcPr>
            <w:tcW w:w="1417" w:type="dxa"/>
            <w:tcBorders>
              <w:top w:val="single" w:sz="4" w:space="0" w:color="000000"/>
              <w:left w:val="single" w:sz="4" w:space="0" w:color="000000"/>
              <w:bottom w:val="single" w:sz="4" w:space="0" w:color="000000"/>
              <w:right w:val="single" w:sz="4" w:space="0" w:color="000000"/>
            </w:tcBorders>
            <w:hideMark/>
          </w:tcPr>
          <w:p w14:paraId="1F5B1D1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7,417.00</w:t>
            </w:r>
          </w:p>
        </w:tc>
      </w:tr>
      <w:tr w:rsidR="001A666F" w:rsidRPr="006F1F8F" w14:paraId="1E452B07"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AABFC5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12FD4AF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Paging (one-way)</w:t>
            </w:r>
          </w:p>
        </w:tc>
        <w:tc>
          <w:tcPr>
            <w:tcW w:w="1417" w:type="dxa"/>
            <w:tcBorders>
              <w:top w:val="single" w:sz="4" w:space="0" w:color="000000"/>
              <w:left w:val="single" w:sz="4" w:space="0" w:color="000000"/>
              <w:bottom w:val="single" w:sz="4" w:space="0" w:color="000000"/>
              <w:right w:val="single" w:sz="4" w:space="0" w:color="000000"/>
            </w:tcBorders>
          </w:tcPr>
          <w:p w14:paraId="1A327F2A"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6372A873" w14:textId="77777777" w:rsidTr="00F02DA4">
        <w:tc>
          <w:tcPr>
            <w:tcW w:w="647" w:type="dxa"/>
            <w:tcBorders>
              <w:top w:val="single" w:sz="4" w:space="0" w:color="000000"/>
              <w:left w:val="single" w:sz="4" w:space="0" w:color="000000"/>
              <w:bottom w:val="single" w:sz="4" w:space="0" w:color="000000"/>
              <w:right w:val="single" w:sz="4" w:space="0" w:color="000000"/>
            </w:tcBorders>
          </w:tcPr>
          <w:p w14:paraId="5E906AEE"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65631FE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6CC9D6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Commercial</w:t>
            </w:r>
          </w:p>
        </w:tc>
        <w:tc>
          <w:tcPr>
            <w:tcW w:w="1417" w:type="dxa"/>
            <w:tcBorders>
              <w:top w:val="single" w:sz="4" w:space="0" w:color="000000"/>
              <w:left w:val="single" w:sz="4" w:space="0" w:color="000000"/>
              <w:bottom w:val="single" w:sz="4" w:space="0" w:color="000000"/>
              <w:right w:val="single" w:sz="4" w:space="0" w:color="000000"/>
            </w:tcBorders>
          </w:tcPr>
          <w:p w14:paraId="12BFCEF1"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08A18721"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0B526C2"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tcPr>
          <w:p w14:paraId="009CB84C" w14:textId="77777777" w:rsidR="001A666F" w:rsidRPr="006F1F8F" w:rsidRDefault="001A666F" w:rsidP="00F02DA4">
            <w:pPr>
              <w:pStyle w:val="REG-P0"/>
              <w:autoSpaceDE w:val="0"/>
              <w:autoSpaceDN w:val="0"/>
              <w:jc w:val="left"/>
              <w:rPr>
                <w:sz w:val="20"/>
                <w:szCs w:val="20"/>
                <w:lang w:val="en-US" w:eastAsia="en-US"/>
              </w:rPr>
            </w:pPr>
          </w:p>
        </w:tc>
        <w:tc>
          <w:tcPr>
            <w:tcW w:w="849" w:type="dxa"/>
            <w:tcBorders>
              <w:top w:val="single" w:sz="4" w:space="0" w:color="000000"/>
              <w:left w:val="single" w:sz="4" w:space="0" w:color="000000"/>
              <w:bottom w:val="single" w:sz="4" w:space="0" w:color="000000"/>
              <w:right w:val="single" w:sz="4" w:space="0" w:color="000000"/>
            </w:tcBorders>
            <w:hideMark/>
          </w:tcPr>
          <w:p w14:paraId="1756EA98"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6.3.1.1</w:t>
            </w:r>
          </w:p>
        </w:tc>
        <w:tc>
          <w:tcPr>
            <w:tcW w:w="4823" w:type="dxa"/>
            <w:tcBorders>
              <w:top w:val="single" w:sz="4" w:space="0" w:color="000000"/>
              <w:left w:val="single" w:sz="4" w:space="0" w:color="000000"/>
              <w:bottom w:val="single" w:sz="4" w:space="0" w:color="000000"/>
              <w:right w:val="single" w:sz="4" w:space="0" w:color="000000"/>
            </w:tcBorders>
            <w:hideMark/>
          </w:tcPr>
          <w:p w14:paraId="7C72786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Application</w:t>
            </w:r>
          </w:p>
        </w:tc>
        <w:tc>
          <w:tcPr>
            <w:tcW w:w="1417" w:type="dxa"/>
            <w:tcBorders>
              <w:top w:val="single" w:sz="4" w:space="0" w:color="000000"/>
              <w:left w:val="single" w:sz="4" w:space="0" w:color="000000"/>
              <w:bottom w:val="single" w:sz="4" w:space="0" w:color="000000"/>
              <w:right w:val="single" w:sz="4" w:space="0" w:color="000000"/>
            </w:tcBorders>
            <w:hideMark/>
          </w:tcPr>
          <w:p w14:paraId="4E82BD35"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2,318.00</w:t>
            </w:r>
          </w:p>
        </w:tc>
      </w:tr>
      <w:tr w:rsidR="001A666F" w:rsidRPr="006F1F8F" w14:paraId="40F985D2"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7C9AD8B"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tcPr>
          <w:p w14:paraId="4F137BF2" w14:textId="77777777" w:rsidR="001A666F" w:rsidRPr="006F1F8F" w:rsidRDefault="001A666F" w:rsidP="00F02DA4">
            <w:pPr>
              <w:pStyle w:val="REG-P0"/>
              <w:autoSpaceDE w:val="0"/>
              <w:autoSpaceDN w:val="0"/>
              <w:jc w:val="left"/>
              <w:rPr>
                <w:sz w:val="20"/>
                <w:szCs w:val="20"/>
                <w:lang w:val="en-US" w:eastAsia="en-US"/>
              </w:rPr>
            </w:pPr>
          </w:p>
        </w:tc>
        <w:tc>
          <w:tcPr>
            <w:tcW w:w="849" w:type="dxa"/>
            <w:tcBorders>
              <w:top w:val="single" w:sz="4" w:space="0" w:color="000000"/>
              <w:left w:val="single" w:sz="4" w:space="0" w:color="000000"/>
              <w:bottom w:val="single" w:sz="4" w:space="0" w:color="000000"/>
              <w:right w:val="single" w:sz="4" w:space="0" w:color="000000"/>
            </w:tcBorders>
            <w:hideMark/>
          </w:tcPr>
          <w:p w14:paraId="3986D39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6.3.1.2</w:t>
            </w:r>
          </w:p>
        </w:tc>
        <w:tc>
          <w:tcPr>
            <w:tcW w:w="4823" w:type="dxa"/>
            <w:tcBorders>
              <w:top w:val="single" w:sz="4" w:space="0" w:color="000000"/>
              <w:left w:val="single" w:sz="4" w:space="0" w:color="000000"/>
              <w:bottom w:val="single" w:sz="4" w:space="0" w:color="000000"/>
              <w:right w:val="single" w:sz="4" w:space="0" w:color="000000"/>
            </w:tcBorders>
            <w:hideMark/>
          </w:tcPr>
          <w:p w14:paraId="046F6E0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Per control room</w:t>
            </w:r>
          </w:p>
        </w:tc>
        <w:tc>
          <w:tcPr>
            <w:tcW w:w="1417" w:type="dxa"/>
            <w:tcBorders>
              <w:top w:val="single" w:sz="4" w:space="0" w:color="000000"/>
              <w:left w:val="single" w:sz="4" w:space="0" w:color="000000"/>
              <w:bottom w:val="single" w:sz="4" w:space="0" w:color="000000"/>
              <w:right w:val="single" w:sz="4" w:space="0" w:color="000000"/>
            </w:tcBorders>
            <w:hideMark/>
          </w:tcPr>
          <w:p w14:paraId="41DC717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11,125.00</w:t>
            </w:r>
          </w:p>
        </w:tc>
      </w:tr>
      <w:tr w:rsidR="001A666F" w:rsidRPr="006F1F8F" w14:paraId="0FB31169"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F8FADD8"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60D082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3CFF2526"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Private</w:t>
            </w:r>
          </w:p>
        </w:tc>
        <w:tc>
          <w:tcPr>
            <w:tcW w:w="1417" w:type="dxa"/>
            <w:tcBorders>
              <w:top w:val="single" w:sz="4" w:space="0" w:color="000000"/>
              <w:left w:val="single" w:sz="4" w:space="0" w:color="000000"/>
              <w:bottom w:val="single" w:sz="4" w:space="0" w:color="000000"/>
              <w:right w:val="single" w:sz="4" w:space="0" w:color="000000"/>
            </w:tcBorders>
          </w:tcPr>
          <w:p w14:paraId="2341003E"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1EAC3E41"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3AF962D"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tcPr>
          <w:p w14:paraId="62211C8E" w14:textId="77777777" w:rsidR="001A666F" w:rsidRPr="006F1F8F" w:rsidRDefault="001A666F" w:rsidP="00F02DA4">
            <w:pPr>
              <w:pStyle w:val="REG-P0"/>
              <w:autoSpaceDE w:val="0"/>
              <w:autoSpaceDN w:val="0"/>
              <w:jc w:val="left"/>
              <w:rPr>
                <w:sz w:val="20"/>
                <w:szCs w:val="20"/>
                <w:lang w:val="en-US" w:eastAsia="en-US"/>
              </w:rPr>
            </w:pPr>
          </w:p>
        </w:tc>
        <w:tc>
          <w:tcPr>
            <w:tcW w:w="849" w:type="dxa"/>
            <w:tcBorders>
              <w:top w:val="single" w:sz="4" w:space="0" w:color="000000"/>
              <w:left w:val="single" w:sz="4" w:space="0" w:color="000000"/>
              <w:bottom w:val="single" w:sz="4" w:space="0" w:color="000000"/>
              <w:right w:val="single" w:sz="4" w:space="0" w:color="000000"/>
            </w:tcBorders>
            <w:hideMark/>
          </w:tcPr>
          <w:p w14:paraId="2B51561E"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6.3.2.1</w:t>
            </w:r>
          </w:p>
        </w:tc>
        <w:tc>
          <w:tcPr>
            <w:tcW w:w="4823" w:type="dxa"/>
            <w:tcBorders>
              <w:top w:val="single" w:sz="4" w:space="0" w:color="000000"/>
              <w:left w:val="single" w:sz="4" w:space="0" w:color="000000"/>
              <w:bottom w:val="single" w:sz="4" w:space="0" w:color="000000"/>
              <w:right w:val="single" w:sz="4" w:space="0" w:color="000000"/>
            </w:tcBorders>
            <w:hideMark/>
          </w:tcPr>
          <w:p w14:paraId="6A619144"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Per control room and per frequency</w:t>
            </w:r>
          </w:p>
        </w:tc>
        <w:tc>
          <w:tcPr>
            <w:tcW w:w="1417" w:type="dxa"/>
            <w:tcBorders>
              <w:top w:val="single" w:sz="4" w:space="0" w:color="000000"/>
              <w:left w:val="single" w:sz="4" w:space="0" w:color="000000"/>
              <w:bottom w:val="single" w:sz="4" w:space="0" w:color="000000"/>
              <w:right w:val="single" w:sz="4" w:space="0" w:color="000000"/>
            </w:tcBorders>
            <w:hideMark/>
          </w:tcPr>
          <w:p w14:paraId="3C0ECBC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222.00</w:t>
            </w:r>
          </w:p>
        </w:tc>
      </w:tr>
      <w:tr w:rsidR="001A666F" w:rsidRPr="006F1F8F" w14:paraId="2D1A856E"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0DCF67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47E90010"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Radio trunking</w:t>
            </w:r>
          </w:p>
        </w:tc>
        <w:tc>
          <w:tcPr>
            <w:tcW w:w="1417" w:type="dxa"/>
            <w:tcBorders>
              <w:top w:val="single" w:sz="4" w:space="0" w:color="000000"/>
              <w:left w:val="single" w:sz="4" w:space="0" w:color="000000"/>
              <w:bottom w:val="single" w:sz="4" w:space="0" w:color="000000"/>
              <w:right w:val="single" w:sz="4" w:space="0" w:color="000000"/>
            </w:tcBorders>
          </w:tcPr>
          <w:p w14:paraId="50B439CE"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03223771"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D7D8E85"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4D1820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6.4.1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476D86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For a maximum of one control channel per base station</w:t>
            </w:r>
          </w:p>
        </w:tc>
        <w:tc>
          <w:tcPr>
            <w:tcW w:w="1417" w:type="dxa"/>
            <w:tcBorders>
              <w:top w:val="single" w:sz="4" w:space="0" w:color="000000"/>
              <w:left w:val="single" w:sz="4" w:space="0" w:color="000000"/>
              <w:bottom w:val="single" w:sz="4" w:space="0" w:color="000000"/>
              <w:right w:val="single" w:sz="4" w:space="0" w:color="000000"/>
            </w:tcBorders>
            <w:hideMark/>
          </w:tcPr>
          <w:p w14:paraId="0E58E3A7"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1,112.00</w:t>
            </w:r>
          </w:p>
        </w:tc>
      </w:tr>
      <w:tr w:rsidR="001A666F" w:rsidRPr="006F1F8F" w14:paraId="2C3F90FC" w14:textId="77777777" w:rsidTr="00F02DA4">
        <w:tc>
          <w:tcPr>
            <w:tcW w:w="647" w:type="dxa"/>
            <w:tcBorders>
              <w:top w:val="single" w:sz="4" w:space="0" w:color="000000"/>
              <w:left w:val="single" w:sz="4" w:space="0" w:color="000000"/>
              <w:bottom w:val="single" w:sz="4" w:space="0" w:color="000000"/>
              <w:right w:val="single" w:sz="4" w:space="0" w:color="000000"/>
            </w:tcBorders>
          </w:tcPr>
          <w:p w14:paraId="52B59F40"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1CAB32B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6.4.2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EC6815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For each additional double frequency or if only one channel is used at a base station</w:t>
            </w:r>
          </w:p>
        </w:tc>
        <w:tc>
          <w:tcPr>
            <w:tcW w:w="1417" w:type="dxa"/>
            <w:tcBorders>
              <w:top w:val="single" w:sz="4" w:space="0" w:color="000000"/>
              <w:left w:val="single" w:sz="4" w:space="0" w:color="000000"/>
              <w:bottom w:val="single" w:sz="4" w:space="0" w:color="000000"/>
              <w:right w:val="single" w:sz="4" w:space="0" w:color="000000"/>
            </w:tcBorders>
            <w:hideMark/>
          </w:tcPr>
          <w:p w14:paraId="505D7432"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5,562.00</w:t>
            </w:r>
          </w:p>
        </w:tc>
      </w:tr>
      <w:tr w:rsidR="001A666F" w:rsidRPr="006F1F8F" w14:paraId="239881D6"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1DA9DFD4"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6.5</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18FC780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Repeater (Community/Shared)</w:t>
            </w:r>
          </w:p>
        </w:tc>
        <w:tc>
          <w:tcPr>
            <w:tcW w:w="1417" w:type="dxa"/>
            <w:tcBorders>
              <w:top w:val="single" w:sz="4" w:space="0" w:color="000000"/>
              <w:left w:val="single" w:sz="4" w:space="0" w:color="000000"/>
              <w:bottom w:val="single" w:sz="4" w:space="0" w:color="000000"/>
              <w:right w:val="single" w:sz="4" w:space="0" w:color="000000"/>
            </w:tcBorders>
          </w:tcPr>
          <w:p w14:paraId="28962865" w14:textId="77777777" w:rsidR="001A666F" w:rsidRPr="006F1F8F" w:rsidRDefault="001A666F" w:rsidP="00F02DA4">
            <w:pPr>
              <w:pStyle w:val="REG-P0"/>
              <w:autoSpaceDE w:val="0"/>
              <w:autoSpaceDN w:val="0"/>
              <w:jc w:val="right"/>
              <w:rPr>
                <w:sz w:val="20"/>
                <w:szCs w:val="20"/>
                <w:highlight w:val="yellow"/>
                <w:lang w:val="en-US" w:eastAsia="en-US"/>
              </w:rPr>
            </w:pPr>
          </w:p>
        </w:tc>
      </w:tr>
      <w:tr w:rsidR="001A666F" w:rsidRPr="006F1F8F" w14:paraId="40F11E47" w14:textId="77777777" w:rsidTr="00F02DA4">
        <w:tc>
          <w:tcPr>
            <w:tcW w:w="647" w:type="dxa"/>
            <w:tcBorders>
              <w:top w:val="single" w:sz="4" w:space="0" w:color="000000"/>
              <w:left w:val="single" w:sz="4" w:space="0" w:color="000000"/>
              <w:bottom w:val="single" w:sz="4" w:space="0" w:color="000000"/>
              <w:right w:val="single" w:sz="4" w:space="0" w:color="000000"/>
            </w:tcBorders>
          </w:tcPr>
          <w:p w14:paraId="2CB9ABBC"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69FE1F9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6.5.1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550ECAF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Urban area per duplex frequency (commercial use)</w:t>
            </w:r>
          </w:p>
        </w:tc>
        <w:tc>
          <w:tcPr>
            <w:tcW w:w="1417" w:type="dxa"/>
            <w:tcBorders>
              <w:top w:val="single" w:sz="4" w:space="0" w:color="000000"/>
              <w:left w:val="single" w:sz="4" w:space="0" w:color="000000"/>
              <w:bottom w:val="single" w:sz="4" w:space="0" w:color="000000"/>
              <w:right w:val="single" w:sz="4" w:space="0" w:color="000000"/>
            </w:tcBorders>
            <w:hideMark/>
          </w:tcPr>
          <w:p w14:paraId="338CF072"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5,117.00</w:t>
            </w:r>
          </w:p>
        </w:tc>
      </w:tr>
      <w:tr w:rsidR="001A666F" w:rsidRPr="006F1F8F" w14:paraId="21863A66" w14:textId="77777777" w:rsidTr="00F02DA4">
        <w:tc>
          <w:tcPr>
            <w:tcW w:w="647" w:type="dxa"/>
            <w:tcBorders>
              <w:top w:val="single" w:sz="4" w:space="0" w:color="000000"/>
              <w:left w:val="single" w:sz="4" w:space="0" w:color="000000"/>
              <w:bottom w:val="single" w:sz="4" w:space="0" w:color="000000"/>
              <w:right w:val="single" w:sz="4" w:space="0" w:color="000000"/>
            </w:tcBorders>
          </w:tcPr>
          <w:p w14:paraId="7D2373F7"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424B354"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6.5.2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1F008D3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All other areas per duplex (commercial use)</w:t>
            </w:r>
          </w:p>
        </w:tc>
        <w:tc>
          <w:tcPr>
            <w:tcW w:w="1417" w:type="dxa"/>
            <w:tcBorders>
              <w:top w:val="single" w:sz="4" w:space="0" w:color="000000"/>
              <w:left w:val="single" w:sz="4" w:space="0" w:color="000000"/>
              <w:bottom w:val="single" w:sz="4" w:space="0" w:color="000000"/>
              <w:right w:val="single" w:sz="4" w:space="0" w:color="000000"/>
            </w:tcBorders>
            <w:hideMark/>
          </w:tcPr>
          <w:p w14:paraId="733709F7"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2,670.00</w:t>
            </w:r>
          </w:p>
        </w:tc>
      </w:tr>
      <w:tr w:rsidR="001A666F" w:rsidRPr="006F1F8F" w14:paraId="6ED121C9"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57B23A9"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013E49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6.5.3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63602D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All other areas per duplex (farmers associations only)</w:t>
            </w:r>
          </w:p>
        </w:tc>
        <w:tc>
          <w:tcPr>
            <w:tcW w:w="1417" w:type="dxa"/>
            <w:tcBorders>
              <w:top w:val="single" w:sz="4" w:space="0" w:color="000000"/>
              <w:left w:val="single" w:sz="4" w:space="0" w:color="000000"/>
              <w:bottom w:val="single" w:sz="4" w:space="0" w:color="000000"/>
              <w:right w:val="single" w:sz="4" w:space="0" w:color="000000"/>
            </w:tcBorders>
            <w:hideMark/>
          </w:tcPr>
          <w:p w14:paraId="01171D71"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1,112.00</w:t>
            </w:r>
          </w:p>
        </w:tc>
      </w:tr>
      <w:tr w:rsidR="00DD4E8D" w:rsidRPr="006F1F8F" w14:paraId="73837EF5" w14:textId="77777777" w:rsidTr="00DD4E8D">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6229AA9F" w14:textId="1D11F54D" w:rsidR="00DD4E8D" w:rsidRPr="006F1F8F" w:rsidRDefault="00DD4E8D" w:rsidP="00DD4E8D">
            <w:pPr>
              <w:pStyle w:val="REG-P0"/>
              <w:autoSpaceDE w:val="0"/>
              <w:autoSpaceDN w:val="0"/>
              <w:rPr>
                <w:b/>
                <w:sz w:val="20"/>
                <w:szCs w:val="20"/>
                <w:lang w:val="en-US" w:eastAsia="en-US"/>
              </w:rPr>
            </w:pPr>
            <w:r w:rsidRPr="006F1F8F">
              <w:rPr>
                <w:b/>
                <w:sz w:val="20"/>
                <w:szCs w:val="20"/>
                <w:lang w:val="en-US" w:eastAsia="en-US"/>
              </w:rPr>
              <w:t>7.</w:t>
            </w:r>
            <w:r w:rsidRPr="006F1F8F">
              <w:t xml:space="preserve"> </w:t>
            </w:r>
            <w:r w:rsidRPr="006F1F8F">
              <w:tab/>
            </w:r>
            <w:r w:rsidRPr="006F1F8F">
              <w:rPr>
                <w:b/>
                <w:sz w:val="20"/>
                <w:szCs w:val="20"/>
                <w:lang w:val="en-US" w:eastAsia="en-US"/>
              </w:rPr>
              <w:t>SATELLITE SERVICES (LAND, MOBILE, MARITIME)</w:t>
            </w:r>
          </w:p>
        </w:tc>
      </w:tr>
      <w:tr w:rsidR="001A666F" w:rsidRPr="006F1F8F" w14:paraId="3DDC41F6"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16AA7E1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25B4AA7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Immarsat</w:t>
            </w:r>
          </w:p>
        </w:tc>
        <w:tc>
          <w:tcPr>
            <w:tcW w:w="1417" w:type="dxa"/>
            <w:tcBorders>
              <w:top w:val="single" w:sz="4" w:space="0" w:color="000000"/>
              <w:left w:val="single" w:sz="4" w:space="0" w:color="000000"/>
              <w:bottom w:val="single" w:sz="4" w:space="0" w:color="000000"/>
              <w:right w:val="single" w:sz="4" w:space="0" w:color="000000"/>
            </w:tcBorders>
          </w:tcPr>
          <w:p w14:paraId="1EFBD30C"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6ABFAD40"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5DB4299"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796C552"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7.1.1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3E1C972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 terminal</w:t>
            </w:r>
          </w:p>
        </w:tc>
        <w:tc>
          <w:tcPr>
            <w:tcW w:w="1417" w:type="dxa"/>
            <w:tcBorders>
              <w:top w:val="single" w:sz="4" w:space="0" w:color="000000"/>
              <w:left w:val="single" w:sz="4" w:space="0" w:color="000000"/>
              <w:bottom w:val="single" w:sz="4" w:space="0" w:color="000000"/>
              <w:right w:val="single" w:sz="4" w:space="0" w:color="000000"/>
            </w:tcBorders>
            <w:hideMark/>
          </w:tcPr>
          <w:p w14:paraId="69E0A8FC"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3,337.00</w:t>
            </w:r>
          </w:p>
        </w:tc>
      </w:tr>
      <w:tr w:rsidR="001A666F" w:rsidRPr="006F1F8F" w14:paraId="2C7836D6" w14:textId="77777777" w:rsidTr="00F02DA4">
        <w:tc>
          <w:tcPr>
            <w:tcW w:w="647" w:type="dxa"/>
            <w:tcBorders>
              <w:top w:val="single" w:sz="4" w:space="0" w:color="000000"/>
              <w:left w:val="single" w:sz="4" w:space="0" w:color="000000"/>
              <w:bottom w:val="single" w:sz="4" w:space="0" w:color="000000"/>
              <w:right w:val="single" w:sz="4" w:space="0" w:color="000000"/>
            </w:tcBorders>
          </w:tcPr>
          <w:p w14:paraId="56666B0E"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3225ED20"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7.1.2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406B3D2"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B,C and M terminal (64 kbit/s)</w:t>
            </w:r>
          </w:p>
        </w:tc>
        <w:tc>
          <w:tcPr>
            <w:tcW w:w="1417" w:type="dxa"/>
            <w:tcBorders>
              <w:top w:val="single" w:sz="4" w:space="0" w:color="000000"/>
              <w:left w:val="single" w:sz="4" w:space="0" w:color="000000"/>
              <w:bottom w:val="single" w:sz="4" w:space="0" w:color="000000"/>
              <w:right w:val="single" w:sz="4" w:space="0" w:color="000000"/>
            </w:tcBorders>
            <w:hideMark/>
          </w:tcPr>
          <w:p w14:paraId="402D7F44"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1,336.00</w:t>
            </w:r>
          </w:p>
        </w:tc>
      </w:tr>
      <w:tr w:rsidR="001A666F" w:rsidRPr="006F1F8F" w14:paraId="1B129B17" w14:textId="77777777" w:rsidTr="00F02DA4">
        <w:tc>
          <w:tcPr>
            <w:tcW w:w="647" w:type="dxa"/>
            <w:tcBorders>
              <w:top w:val="single" w:sz="4" w:space="0" w:color="000000"/>
              <w:left w:val="single" w:sz="4" w:space="0" w:color="000000"/>
              <w:bottom w:val="single" w:sz="4" w:space="0" w:color="000000"/>
              <w:right w:val="single" w:sz="4" w:space="0" w:color="000000"/>
            </w:tcBorders>
          </w:tcPr>
          <w:p w14:paraId="1ADC6F22"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15A0387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7.1.3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3EA2907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D terminal (data only) RB GAN</w:t>
            </w:r>
          </w:p>
        </w:tc>
        <w:tc>
          <w:tcPr>
            <w:tcW w:w="1417" w:type="dxa"/>
            <w:tcBorders>
              <w:top w:val="single" w:sz="4" w:space="0" w:color="000000"/>
              <w:left w:val="single" w:sz="4" w:space="0" w:color="000000"/>
              <w:bottom w:val="single" w:sz="4" w:space="0" w:color="000000"/>
              <w:right w:val="single" w:sz="4" w:space="0" w:color="000000"/>
            </w:tcBorders>
            <w:hideMark/>
          </w:tcPr>
          <w:p w14:paraId="7D8CBBEE"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557.00</w:t>
            </w:r>
          </w:p>
        </w:tc>
      </w:tr>
      <w:tr w:rsidR="001A666F" w:rsidRPr="006F1F8F" w14:paraId="351FC4FB"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33D47E20"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79F7510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Uplink Broadcasting Signal Distribution Fixed Satellite Earth Station</w:t>
            </w:r>
          </w:p>
        </w:tc>
        <w:tc>
          <w:tcPr>
            <w:tcW w:w="1417" w:type="dxa"/>
            <w:tcBorders>
              <w:top w:val="single" w:sz="4" w:space="0" w:color="000000"/>
              <w:left w:val="single" w:sz="4" w:space="0" w:color="000000"/>
              <w:bottom w:val="single" w:sz="4" w:space="0" w:color="000000"/>
              <w:right w:val="single" w:sz="4" w:space="0" w:color="000000"/>
            </w:tcBorders>
            <w:hideMark/>
          </w:tcPr>
          <w:p w14:paraId="1FEBD38E"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39,606.00</w:t>
            </w:r>
          </w:p>
        </w:tc>
      </w:tr>
      <w:tr w:rsidR="001A666F" w:rsidRPr="006F1F8F" w14:paraId="142417B7"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1ED49539"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7.3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C6D5C7C"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Mobile or fixed satellite news gathering station (per month or part thereof)</w:t>
            </w:r>
          </w:p>
        </w:tc>
        <w:tc>
          <w:tcPr>
            <w:tcW w:w="1417" w:type="dxa"/>
            <w:tcBorders>
              <w:top w:val="single" w:sz="4" w:space="0" w:color="000000"/>
              <w:left w:val="single" w:sz="4" w:space="0" w:color="000000"/>
              <w:bottom w:val="single" w:sz="4" w:space="0" w:color="000000"/>
              <w:right w:val="single" w:sz="4" w:space="0" w:color="000000"/>
            </w:tcBorders>
            <w:hideMark/>
          </w:tcPr>
          <w:p w14:paraId="6A81E46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3,961.00</w:t>
            </w:r>
          </w:p>
        </w:tc>
      </w:tr>
      <w:tr w:rsidR="00DD4E8D" w:rsidRPr="006F1F8F" w14:paraId="33142EE3" w14:textId="77777777" w:rsidTr="00DD4E8D">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DACA3CA" w14:textId="683CC370" w:rsidR="00DD4E8D" w:rsidRPr="006F1F8F" w:rsidRDefault="00DD4E8D" w:rsidP="00DD4E8D">
            <w:pPr>
              <w:pStyle w:val="REG-P0"/>
              <w:autoSpaceDE w:val="0"/>
              <w:autoSpaceDN w:val="0"/>
              <w:rPr>
                <w:b/>
                <w:sz w:val="20"/>
                <w:szCs w:val="20"/>
                <w:lang w:val="en-US" w:eastAsia="en-US"/>
              </w:rPr>
            </w:pPr>
            <w:r w:rsidRPr="006F1F8F">
              <w:rPr>
                <w:b/>
                <w:sz w:val="20"/>
                <w:szCs w:val="20"/>
                <w:lang w:val="en-US" w:eastAsia="en-US"/>
              </w:rPr>
              <w:t>8.</w:t>
            </w:r>
            <w:r w:rsidRPr="006F1F8F">
              <w:t xml:space="preserve"> </w:t>
            </w:r>
            <w:r w:rsidRPr="006F1F8F">
              <w:tab/>
            </w:r>
            <w:r w:rsidRPr="006F1F8F">
              <w:rPr>
                <w:b/>
                <w:sz w:val="20"/>
                <w:szCs w:val="20"/>
                <w:lang w:val="en-US" w:eastAsia="en-US"/>
              </w:rPr>
              <w:t>BROADCASTING SERVICES</w:t>
            </w:r>
          </w:p>
        </w:tc>
      </w:tr>
      <w:tr w:rsidR="001A666F" w:rsidRPr="006F1F8F" w14:paraId="3269F843"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28577E4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8.1</w:t>
            </w:r>
          </w:p>
        </w:tc>
        <w:tc>
          <w:tcPr>
            <w:tcW w:w="7858" w:type="dxa"/>
            <w:gridSpan w:val="4"/>
            <w:tcBorders>
              <w:top w:val="single" w:sz="4" w:space="0" w:color="000000"/>
              <w:left w:val="single" w:sz="4" w:space="0" w:color="000000"/>
              <w:bottom w:val="single" w:sz="4" w:space="0" w:color="000000"/>
              <w:right w:val="single" w:sz="4" w:space="0" w:color="000000"/>
            </w:tcBorders>
            <w:hideMark/>
          </w:tcPr>
          <w:p w14:paraId="3F942C08"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Analogue FM Radio Broadcasting Transmitter</w:t>
            </w:r>
          </w:p>
        </w:tc>
      </w:tr>
      <w:tr w:rsidR="001A666F" w:rsidRPr="006F1F8F" w14:paraId="20E2D27D" w14:textId="77777777" w:rsidTr="00F02DA4">
        <w:tc>
          <w:tcPr>
            <w:tcW w:w="647" w:type="dxa"/>
            <w:tcBorders>
              <w:top w:val="single" w:sz="4" w:space="0" w:color="000000"/>
              <w:left w:val="single" w:sz="4" w:space="0" w:color="000000"/>
              <w:bottom w:val="single" w:sz="4" w:space="0" w:color="000000"/>
              <w:right w:val="single" w:sz="4" w:space="0" w:color="000000"/>
            </w:tcBorders>
          </w:tcPr>
          <w:p w14:paraId="2665F583"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30886DE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8.1.1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CECB2B8"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0.000 up to 100.999 Watt (ERP)</w:t>
            </w:r>
          </w:p>
        </w:tc>
        <w:tc>
          <w:tcPr>
            <w:tcW w:w="1417" w:type="dxa"/>
            <w:tcBorders>
              <w:top w:val="single" w:sz="4" w:space="0" w:color="000000"/>
              <w:left w:val="single" w:sz="4" w:space="0" w:color="000000"/>
              <w:bottom w:val="single" w:sz="4" w:space="0" w:color="000000"/>
              <w:right w:val="single" w:sz="4" w:space="0" w:color="000000"/>
            </w:tcBorders>
            <w:hideMark/>
          </w:tcPr>
          <w:p w14:paraId="1F913674"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792.00</w:t>
            </w:r>
          </w:p>
        </w:tc>
      </w:tr>
      <w:tr w:rsidR="001A666F" w:rsidRPr="006F1F8F" w14:paraId="031BF3BC"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8B1D0CA"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18A3A4E2"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8.1.2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58F9413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101.000 up to 999.999 Watt (ERP)</w:t>
            </w:r>
          </w:p>
        </w:tc>
        <w:tc>
          <w:tcPr>
            <w:tcW w:w="1417" w:type="dxa"/>
            <w:tcBorders>
              <w:top w:val="single" w:sz="4" w:space="0" w:color="000000"/>
              <w:left w:val="single" w:sz="4" w:space="0" w:color="000000"/>
              <w:bottom w:val="single" w:sz="4" w:space="0" w:color="000000"/>
              <w:right w:val="single" w:sz="4" w:space="0" w:color="000000"/>
            </w:tcBorders>
            <w:hideMark/>
          </w:tcPr>
          <w:p w14:paraId="6D4820B7"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1,585.00</w:t>
            </w:r>
          </w:p>
        </w:tc>
      </w:tr>
      <w:tr w:rsidR="001A666F" w:rsidRPr="006F1F8F" w14:paraId="0443DA59"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2623276"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6C36B76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8.1.3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0A27CA49"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1000 Watt (ERP) and above</w:t>
            </w:r>
          </w:p>
        </w:tc>
        <w:tc>
          <w:tcPr>
            <w:tcW w:w="1417" w:type="dxa"/>
            <w:tcBorders>
              <w:top w:val="single" w:sz="4" w:space="0" w:color="000000"/>
              <w:left w:val="single" w:sz="4" w:space="0" w:color="000000"/>
              <w:bottom w:val="single" w:sz="4" w:space="0" w:color="000000"/>
              <w:right w:val="single" w:sz="4" w:space="0" w:color="000000"/>
            </w:tcBorders>
            <w:hideMark/>
          </w:tcPr>
          <w:p w14:paraId="3388056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2,376.00</w:t>
            </w:r>
          </w:p>
        </w:tc>
      </w:tr>
      <w:tr w:rsidR="001A666F" w:rsidRPr="006F1F8F" w14:paraId="05D0AED5"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3A1C35F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674F0FF5" w14:textId="77777777" w:rsidR="001A666F" w:rsidRPr="006F1F8F" w:rsidRDefault="001A666F" w:rsidP="00F02DA4">
            <w:pPr>
              <w:pStyle w:val="REG-P0"/>
              <w:autoSpaceDE w:val="0"/>
              <w:autoSpaceDN w:val="0"/>
              <w:jc w:val="left"/>
              <w:rPr>
                <w:sz w:val="20"/>
                <w:szCs w:val="20"/>
                <w:lang w:val="en-US" w:eastAsia="en-US"/>
              </w:rPr>
            </w:pPr>
            <w:r w:rsidRPr="006F1F8F">
              <w:rPr>
                <w:noProof w:val="0"/>
                <w:sz w:val="20"/>
                <w:szCs w:val="20"/>
                <w:lang w:val="en-ZA"/>
              </w:rPr>
              <w:t>Digital Terrestrial</w:t>
            </w:r>
            <w:r w:rsidRPr="006F1F8F">
              <w:rPr>
                <w:sz w:val="20"/>
                <w:szCs w:val="20"/>
                <w:lang w:val="en-US" w:eastAsia="en-US"/>
              </w:rPr>
              <w:t xml:space="preserve"> Television Broadcasting Transmitter</w:t>
            </w:r>
          </w:p>
        </w:tc>
        <w:tc>
          <w:tcPr>
            <w:tcW w:w="1417" w:type="dxa"/>
            <w:tcBorders>
              <w:top w:val="single" w:sz="4" w:space="0" w:color="000000"/>
              <w:left w:val="single" w:sz="4" w:space="0" w:color="000000"/>
              <w:bottom w:val="single" w:sz="4" w:space="0" w:color="000000"/>
              <w:right w:val="single" w:sz="4" w:space="0" w:color="000000"/>
            </w:tcBorders>
          </w:tcPr>
          <w:p w14:paraId="5F2411EE"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3BEC0561" w14:textId="77777777" w:rsidTr="00F02DA4">
        <w:tc>
          <w:tcPr>
            <w:tcW w:w="647" w:type="dxa"/>
            <w:tcBorders>
              <w:top w:val="single" w:sz="4" w:space="0" w:color="000000"/>
              <w:left w:val="single" w:sz="4" w:space="0" w:color="000000"/>
              <w:bottom w:val="single" w:sz="4" w:space="0" w:color="000000"/>
              <w:right w:val="single" w:sz="4" w:space="0" w:color="000000"/>
            </w:tcBorders>
          </w:tcPr>
          <w:p w14:paraId="31CFCCEA"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BF4F4F1"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8.2.1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4F65836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0.000 up to 100.999 Watt (ERP)</w:t>
            </w:r>
          </w:p>
        </w:tc>
        <w:tc>
          <w:tcPr>
            <w:tcW w:w="1417" w:type="dxa"/>
            <w:tcBorders>
              <w:top w:val="single" w:sz="4" w:space="0" w:color="000000"/>
              <w:left w:val="single" w:sz="4" w:space="0" w:color="000000"/>
              <w:bottom w:val="single" w:sz="4" w:space="0" w:color="000000"/>
              <w:right w:val="single" w:sz="4" w:space="0" w:color="000000"/>
            </w:tcBorders>
            <w:hideMark/>
          </w:tcPr>
          <w:p w14:paraId="046F4663"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8,635.00</w:t>
            </w:r>
          </w:p>
        </w:tc>
      </w:tr>
      <w:tr w:rsidR="001A666F" w:rsidRPr="006F1F8F" w14:paraId="1AA1A14B"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89723AA"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940314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8.2.2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7EAE9E85"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101.000 up to 999.999 Watt (ERP)</w:t>
            </w:r>
          </w:p>
        </w:tc>
        <w:tc>
          <w:tcPr>
            <w:tcW w:w="1417" w:type="dxa"/>
            <w:tcBorders>
              <w:top w:val="single" w:sz="4" w:space="0" w:color="000000"/>
              <w:left w:val="single" w:sz="4" w:space="0" w:color="000000"/>
              <w:bottom w:val="single" w:sz="4" w:space="0" w:color="000000"/>
              <w:right w:val="single" w:sz="4" w:space="0" w:color="000000"/>
            </w:tcBorders>
            <w:hideMark/>
          </w:tcPr>
          <w:p w14:paraId="0C044397"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10,615.00</w:t>
            </w:r>
          </w:p>
        </w:tc>
      </w:tr>
      <w:tr w:rsidR="001A666F" w:rsidRPr="006F1F8F" w14:paraId="6218F93B"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5B57EE1"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ED1664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8.2.3</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224D0117"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1000 Watt (ERP) and above</w:t>
            </w:r>
          </w:p>
        </w:tc>
        <w:tc>
          <w:tcPr>
            <w:tcW w:w="1417" w:type="dxa"/>
            <w:tcBorders>
              <w:top w:val="single" w:sz="4" w:space="0" w:color="000000"/>
              <w:left w:val="single" w:sz="4" w:space="0" w:color="000000"/>
              <w:bottom w:val="single" w:sz="4" w:space="0" w:color="000000"/>
              <w:right w:val="single" w:sz="4" w:space="0" w:color="000000"/>
            </w:tcBorders>
            <w:hideMark/>
          </w:tcPr>
          <w:p w14:paraId="7F2FA6A5"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13,228.00</w:t>
            </w:r>
          </w:p>
        </w:tc>
      </w:tr>
      <w:tr w:rsidR="001A666F" w:rsidRPr="006F1F8F" w14:paraId="31292D38" w14:textId="77777777" w:rsidTr="00DD4E8D">
        <w:tc>
          <w:tcPr>
            <w:tcW w:w="647" w:type="dxa"/>
            <w:tcBorders>
              <w:top w:val="single" w:sz="4" w:space="0" w:color="000000"/>
              <w:left w:val="single" w:sz="4" w:space="0" w:color="000000"/>
              <w:bottom w:val="single" w:sz="4" w:space="0" w:color="000000"/>
              <w:right w:val="single" w:sz="4" w:space="0" w:color="000000"/>
            </w:tcBorders>
            <w:vAlign w:val="center"/>
            <w:hideMark/>
          </w:tcPr>
          <w:p w14:paraId="731E3ED9"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US" w:eastAsia="en-US"/>
              </w:rPr>
              <w:t>8.3</w:t>
            </w:r>
          </w:p>
        </w:tc>
        <w:tc>
          <w:tcPr>
            <w:tcW w:w="6441" w:type="dxa"/>
            <w:gridSpan w:val="3"/>
            <w:tcBorders>
              <w:top w:val="single" w:sz="4" w:space="0" w:color="000000"/>
              <w:left w:val="single" w:sz="4" w:space="0" w:color="000000"/>
              <w:bottom w:val="single" w:sz="4" w:space="0" w:color="000000"/>
              <w:right w:val="single" w:sz="4" w:space="0" w:color="000000"/>
            </w:tcBorders>
            <w:vAlign w:val="center"/>
            <w:hideMark/>
          </w:tcPr>
          <w:p w14:paraId="6A5DF2AE"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ZA" w:eastAsia="en-US"/>
              </w:rPr>
              <w:t>DAB Digital Radio Broadcasting Transmitter</w:t>
            </w:r>
          </w:p>
        </w:tc>
        <w:tc>
          <w:tcPr>
            <w:tcW w:w="1417" w:type="dxa"/>
            <w:tcBorders>
              <w:top w:val="single" w:sz="4" w:space="0" w:color="000000"/>
              <w:left w:val="single" w:sz="4" w:space="0" w:color="000000"/>
              <w:bottom w:val="single" w:sz="4" w:space="0" w:color="000000"/>
              <w:right w:val="single" w:sz="4" w:space="0" w:color="000000"/>
            </w:tcBorders>
          </w:tcPr>
          <w:p w14:paraId="3133F420" w14:textId="77777777" w:rsidR="001A666F" w:rsidRPr="006F1F8F" w:rsidRDefault="001A666F" w:rsidP="00DD4E8D">
            <w:pPr>
              <w:pStyle w:val="REG-P0"/>
              <w:autoSpaceDE w:val="0"/>
              <w:autoSpaceDN w:val="0"/>
              <w:jc w:val="center"/>
              <w:rPr>
                <w:i/>
                <w:sz w:val="20"/>
                <w:szCs w:val="20"/>
                <w:lang w:val="en-US" w:eastAsia="en-US"/>
              </w:rPr>
            </w:pPr>
            <w:r w:rsidRPr="006F1F8F">
              <w:rPr>
                <w:i/>
                <w:sz w:val="20"/>
                <w:szCs w:val="20"/>
                <w:lang w:val="en-US" w:eastAsia="en-US"/>
              </w:rPr>
              <w:t>(12 channels per frequency)</w:t>
            </w:r>
          </w:p>
        </w:tc>
      </w:tr>
      <w:tr w:rsidR="001A666F" w:rsidRPr="006F1F8F" w14:paraId="39D1D472" w14:textId="77777777" w:rsidTr="00DD4E8D">
        <w:tc>
          <w:tcPr>
            <w:tcW w:w="647" w:type="dxa"/>
            <w:tcBorders>
              <w:top w:val="single" w:sz="4" w:space="0" w:color="000000"/>
              <w:left w:val="single" w:sz="4" w:space="0" w:color="000000"/>
              <w:bottom w:val="single" w:sz="4" w:space="0" w:color="000000"/>
              <w:right w:val="single" w:sz="4" w:space="0" w:color="000000"/>
            </w:tcBorders>
          </w:tcPr>
          <w:p w14:paraId="13B87CA9"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14:paraId="27932587"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US" w:eastAsia="en-US"/>
              </w:rPr>
              <w:t>8.3.1</w:t>
            </w:r>
          </w:p>
        </w:tc>
        <w:tc>
          <w:tcPr>
            <w:tcW w:w="5672" w:type="dxa"/>
            <w:gridSpan w:val="2"/>
            <w:tcBorders>
              <w:top w:val="single" w:sz="4" w:space="0" w:color="000000"/>
              <w:left w:val="single" w:sz="4" w:space="0" w:color="000000"/>
              <w:bottom w:val="single" w:sz="4" w:space="0" w:color="000000"/>
              <w:right w:val="single" w:sz="4" w:space="0" w:color="000000"/>
            </w:tcBorders>
            <w:vAlign w:val="center"/>
            <w:hideMark/>
          </w:tcPr>
          <w:p w14:paraId="5313867B" w14:textId="77777777" w:rsidR="001A666F" w:rsidRPr="006F1F8F" w:rsidRDefault="001A666F" w:rsidP="00DD4E8D">
            <w:pPr>
              <w:pStyle w:val="REG-P0"/>
              <w:autoSpaceDE w:val="0"/>
              <w:autoSpaceDN w:val="0"/>
              <w:jc w:val="left"/>
              <w:rPr>
                <w:sz w:val="20"/>
                <w:szCs w:val="20"/>
                <w:lang w:val="en-US" w:eastAsia="en-US"/>
              </w:rPr>
            </w:pPr>
            <w:r w:rsidRPr="006F1F8F">
              <w:rPr>
                <w:noProof w:val="0"/>
                <w:sz w:val="20"/>
                <w:szCs w:val="20"/>
                <w:lang w:val="en-ZA"/>
              </w:rPr>
              <w:t>Regional</w:t>
            </w:r>
          </w:p>
        </w:tc>
        <w:tc>
          <w:tcPr>
            <w:tcW w:w="1417" w:type="dxa"/>
            <w:tcBorders>
              <w:top w:val="single" w:sz="4" w:space="0" w:color="000000"/>
              <w:left w:val="single" w:sz="4" w:space="0" w:color="000000"/>
              <w:bottom w:val="single" w:sz="4" w:space="0" w:color="000000"/>
              <w:right w:val="single" w:sz="4" w:space="0" w:color="000000"/>
            </w:tcBorders>
            <w:hideMark/>
          </w:tcPr>
          <w:p w14:paraId="2F1AFFBD"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10,738.00 per transmitter</w:t>
            </w:r>
          </w:p>
        </w:tc>
      </w:tr>
      <w:tr w:rsidR="001A666F" w:rsidRPr="006F1F8F" w14:paraId="2C584E55" w14:textId="77777777" w:rsidTr="00DD4E8D">
        <w:tc>
          <w:tcPr>
            <w:tcW w:w="647" w:type="dxa"/>
            <w:tcBorders>
              <w:top w:val="single" w:sz="4" w:space="0" w:color="000000"/>
              <w:left w:val="single" w:sz="4" w:space="0" w:color="000000"/>
              <w:bottom w:val="single" w:sz="4" w:space="0" w:color="000000"/>
              <w:right w:val="single" w:sz="4" w:space="0" w:color="000000"/>
            </w:tcBorders>
          </w:tcPr>
          <w:p w14:paraId="41CFEAA3"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14:paraId="60694528"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US" w:eastAsia="en-US"/>
              </w:rPr>
              <w:t>8.3.2</w:t>
            </w:r>
          </w:p>
        </w:tc>
        <w:tc>
          <w:tcPr>
            <w:tcW w:w="5672" w:type="dxa"/>
            <w:gridSpan w:val="2"/>
            <w:tcBorders>
              <w:top w:val="single" w:sz="4" w:space="0" w:color="000000"/>
              <w:left w:val="single" w:sz="4" w:space="0" w:color="000000"/>
              <w:bottom w:val="single" w:sz="4" w:space="0" w:color="000000"/>
              <w:right w:val="single" w:sz="4" w:space="0" w:color="000000"/>
            </w:tcBorders>
            <w:vAlign w:val="center"/>
            <w:hideMark/>
          </w:tcPr>
          <w:p w14:paraId="418EF67C" w14:textId="77777777" w:rsidR="001A666F" w:rsidRPr="006F1F8F" w:rsidRDefault="001A666F" w:rsidP="00DD4E8D">
            <w:pPr>
              <w:pStyle w:val="REG-P0"/>
              <w:autoSpaceDE w:val="0"/>
              <w:autoSpaceDN w:val="0"/>
              <w:jc w:val="left"/>
              <w:rPr>
                <w:sz w:val="20"/>
                <w:szCs w:val="20"/>
                <w:lang w:val="en-US" w:eastAsia="en-US"/>
              </w:rPr>
            </w:pPr>
            <w:r w:rsidRPr="006F1F8F">
              <w:rPr>
                <w:noProof w:val="0"/>
                <w:sz w:val="20"/>
                <w:szCs w:val="20"/>
                <w:lang w:val="en-ZA"/>
              </w:rPr>
              <w:t>National Single Frequency Network</w:t>
            </w:r>
          </w:p>
        </w:tc>
        <w:tc>
          <w:tcPr>
            <w:tcW w:w="1417" w:type="dxa"/>
            <w:tcBorders>
              <w:top w:val="single" w:sz="4" w:space="0" w:color="000000"/>
              <w:left w:val="single" w:sz="4" w:space="0" w:color="000000"/>
              <w:bottom w:val="single" w:sz="4" w:space="0" w:color="000000"/>
              <w:right w:val="single" w:sz="4" w:space="0" w:color="000000"/>
            </w:tcBorders>
            <w:hideMark/>
          </w:tcPr>
          <w:p w14:paraId="2492BC8E"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10,738.00 per transmitter</w:t>
            </w:r>
          </w:p>
        </w:tc>
      </w:tr>
      <w:tr w:rsidR="001A666F" w:rsidRPr="006F1F8F" w14:paraId="45EF5DA1" w14:textId="77777777" w:rsidTr="00DD4E8D">
        <w:tc>
          <w:tcPr>
            <w:tcW w:w="647" w:type="dxa"/>
            <w:tcBorders>
              <w:top w:val="single" w:sz="4" w:space="0" w:color="000000"/>
              <w:left w:val="single" w:sz="4" w:space="0" w:color="000000"/>
              <w:bottom w:val="single" w:sz="4" w:space="0" w:color="000000"/>
              <w:right w:val="single" w:sz="4" w:space="0" w:color="000000"/>
            </w:tcBorders>
            <w:vAlign w:val="center"/>
          </w:tcPr>
          <w:p w14:paraId="52C1D5F0"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US" w:eastAsia="en-US"/>
              </w:rPr>
              <w:t>8.4</w:t>
            </w:r>
          </w:p>
        </w:tc>
        <w:tc>
          <w:tcPr>
            <w:tcW w:w="6441" w:type="dxa"/>
            <w:gridSpan w:val="3"/>
            <w:tcBorders>
              <w:top w:val="single" w:sz="4" w:space="0" w:color="000000"/>
              <w:left w:val="single" w:sz="4" w:space="0" w:color="000000"/>
              <w:bottom w:val="single" w:sz="4" w:space="0" w:color="000000"/>
              <w:right w:val="single" w:sz="4" w:space="0" w:color="000000"/>
            </w:tcBorders>
            <w:vAlign w:val="center"/>
          </w:tcPr>
          <w:p w14:paraId="713947D4" w14:textId="77777777" w:rsidR="001A666F" w:rsidRPr="006F1F8F" w:rsidRDefault="001A666F" w:rsidP="00DD4E8D">
            <w:pPr>
              <w:pStyle w:val="REG-P0"/>
              <w:autoSpaceDE w:val="0"/>
              <w:autoSpaceDN w:val="0"/>
              <w:jc w:val="left"/>
              <w:rPr>
                <w:sz w:val="20"/>
                <w:szCs w:val="20"/>
                <w:lang w:val="en-US" w:eastAsia="en-US"/>
              </w:rPr>
            </w:pPr>
            <w:r w:rsidRPr="006F1F8F">
              <w:rPr>
                <w:noProof w:val="0"/>
                <w:sz w:val="20"/>
                <w:szCs w:val="20"/>
                <w:lang w:val="en-ZA"/>
              </w:rPr>
              <w:t>DRM30 Digital Radio Broadcasting Transmitter</w:t>
            </w:r>
          </w:p>
        </w:tc>
        <w:tc>
          <w:tcPr>
            <w:tcW w:w="1417" w:type="dxa"/>
            <w:tcBorders>
              <w:top w:val="single" w:sz="4" w:space="0" w:color="000000"/>
              <w:left w:val="single" w:sz="4" w:space="0" w:color="000000"/>
              <w:bottom w:val="single" w:sz="4" w:space="0" w:color="000000"/>
              <w:right w:val="single" w:sz="4" w:space="0" w:color="000000"/>
            </w:tcBorders>
          </w:tcPr>
          <w:p w14:paraId="3D858295" w14:textId="77777777" w:rsidR="001A666F" w:rsidRPr="006F1F8F" w:rsidRDefault="001A666F" w:rsidP="00DD4E8D">
            <w:pPr>
              <w:pStyle w:val="REG-P0"/>
              <w:autoSpaceDE w:val="0"/>
              <w:autoSpaceDN w:val="0"/>
              <w:jc w:val="center"/>
              <w:rPr>
                <w:i/>
                <w:sz w:val="20"/>
                <w:szCs w:val="20"/>
                <w:lang w:val="en-US" w:eastAsia="en-US"/>
              </w:rPr>
            </w:pPr>
            <w:r w:rsidRPr="006F1F8F">
              <w:rPr>
                <w:i/>
                <w:sz w:val="20"/>
                <w:szCs w:val="20"/>
                <w:lang w:val="en-US" w:eastAsia="en-US"/>
              </w:rPr>
              <w:t>(4 channels per frequency)</w:t>
            </w:r>
          </w:p>
        </w:tc>
      </w:tr>
      <w:tr w:rsidR="001A666F" w:rsidRPr="006F1F8F" w14:paraId="07CF0441" w14:textId="77777777" w:rsidTr="00DD4E8D">
        <w:tc>
          <w:tcPr>
            <w:tcW w:w="647" w:type="dxa"/>
            <w:tcBorders>
              <w:top w:val="single" w:sz="4" w:space="0" w:color="000000"/>
              <w:left w:val="single" w:sz="4" w:space="0" w:color="000000"/>
              <w:bottom w:val="single" w:sz="4" w:space="0" w:color="000000"/>
              <w:right w:val="single" w:sz="4" w:space="0" w:color="000000"/>
            </w:tcBorders>
          </w:tcPr>
          <w:p w14:paraId="0AE7B89E"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vAlign w:val="center"/>
            <w:hideMark/>
          </w:tcPr>
          <w:p w14:paraId="76A231AE" w14:textId="77777777" w:rsidR="001A666F" w:rsidRPr="006F1F8F" w:rsidRDefault="001A666F" w:rsidP="00DD4E8D">
            <w:pPr>
              <w:pStyle w:val="REG-P0"/>
              <w:autoSpaceDE w:val="0"/>
              <w:autoSpaceDN w:val="0"/>
              <w:jc w:val="left"/>
              <w:rPr>
                <w:sz w:val="20"/>
                <w:szCs w:val="20"/>
                <w:lang w:val="en-US" w:eastAsia="en-US"/>
              </w:rPr>
            </w:pPr>
            <w:r w:rsidRPr="006F1F8F">
              <w:rPr>
                <w:sz w:val="20"/>
                <w:szCs w:val="20"/>
                <w:lang w:val="en-US" w:eastAsia="en-US"/>
              </w:rPr>
              <w:t>8.4.1</w:t>
            </w:r>
          </w:p>
        </w:tc>
        <w:tc>
          <w:tcPr>
            <w:tcW w:w="5672" w:type="dxa"/>
            <w:gridSpan w:val="2"/>
            <w:tcBorders>
              <w:top w:val="single" w:sz="4" w:space="0" w:color="000000"/>
              <w:left w:val="single" w:sz="4" w:space="0" w:color="000000"/>
              <w:bottom w:val="single" w:sz="4" w:space="0" w:color="000000"/>
              <w:right w:val="single" w:sz="4" w:space="0" w:color="000000"/>
            </w:tcBorders>
            <w:vAlign w:val="center"/>
            <w:hideMark/>
          </w:tcPr>
          <w:p w14:paraId="4758C776" w14:textId="77777777" w:rsidR="001A666F" w:rsidRPr="006F1F8F" w:rsidRDefault="001A666F" w:rsidP="00DD4E8D">
            <w:pPr>
              <w:pStyle w:val="REG-P0"/>
              <w:autoSpaceDE w:val="0"/>
              <w:autoSpaceDN w:val="0"/>
              <w:jc w:val="left"/>
              <w:rPr>
                <w:sz w:val="20"/>
                <w:szCs w:val="20"/>
                <w:lang w:val="en-US" w:eastAsia="en-US"/>
              </w:rPr>
            </w:pPr>
            <w:r w:rsidRPr="006F1F8F">
              <w:rPr>
                <w:noProof w:val="0"/>
                <w:sz w:val="20"/>
                <w:szCs w:val="20"/>
                <w:lang w:val="en-ZA"/>
              </w:rPr>
              <w:t>0.000 up to 1000 kW (</w:t>
            </w:r>
            <w:proofErr w:type="spellStart"/>
            <w:r w:rsidRPr="006F1F8F">
              <w:rPr>
                <w:noProof w:val="0"/>
                <w:sz w:val="20"/>
                <w:szCs w:val="20"/>
                <w:lang w:val="en-ZA"/>
              </w:rPr>
              <w:t>ERP</w:t>
            </w:r>
            <w:proofErr w:type="spellEnd"/>
            <w:r w:rsidRPr="006F1F8F">
              <w:rPr>
                <w:noProof w:val="0"/>
                <w:sz w:val="20"/>
                <w:szCs w:val="20"/>
                <w:lang w:val="en-ZA"/>
              </w:rPr>
              <w:t>)</w:t>
            </w:r>
          </w:p>
        </w:tc>
        <w:tc>
          <w:tcPr>
            <w:tcW w:w="1417" w:type="dxa"/>
            <w:tcBorders>
              <w:top w:val="single" w:sz="4" w:space="0" w:color="000000"/>
              <w:left w:val="single" w:sz="4" w:space="0" w:color="000000"/>
              <w:bottom w:val="single" w:sz="4" w:space="0" w:color="000000"/>
              <w:right w:val="single" w:sz="4" w:space="0" w:color="000000"/>
            </w:tcBorders>
            <w:hideMark/>
          </w:tcPr>
          <w:p w14:paraId="33E8DF65"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9,504.00 per transmitter</w:t>
            </w:r>
          </w:p>
        </w:tc>
      </w:tr>
      <w:tr w:rsidR="001A666F" w:rsidRPr="006F1F8F" w14:paraId="5FB7A4F9"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2BE2EDE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8.5</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3BCEA5C4"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Other broadcasting services</w:t>
            </w:r>
          </w:p>
        </w:tc>
        <w:tc>
          <w:tcPr>
            <w:tcW w:w="1417" w:type="dxa"/>
            <w:tcBorders>
              <w:top w:val="single" w:sz="4" w:space="0" w:color="000000"/>
              <w:left w:val="single" w:sz="4" w:space="0" w:color="000000"/>
              <w:bottom w:val="single" w:sz="4" w:space="0" w:color="000000"/>
              <w:right w:val="single" w:sz="4" w:space="0" w:color="000000"/>
            </w:tcBorders>
          </w:tcPr>
          <w:p w14:paraId="01BA3609" w14:textId="77777777" w:rsidR="001A666F" w:rsidRPr="006F1F8F" w:rsidRDefault="001A666F" w:rsidP="00F02DA4">
            <w:pPr>
              <w:pStyle w:val="REG-P0"/>
              <w:autoSpaceDE w:val="0"/>
              <w:autoSpaceDN w:val="0"/>
              <w:jc w:val="right"/>
              <w:rPr>
                <w:sz w:val="20"/>
                <w:szCs w:val="20"/>
                <w:lang w:val="en-US" w:eastAsia="en-US"/>
              </w:rPr>
            </w:pPr>
          </w:p>
        </w:tc>
      </w:tr>
      <w:tr w:rsidR="001A666F" w:rsidRPr="006F1F8F" w14:paraId="165D5F4A" w14:textId="77777777" w:rsidTr="00F02DA4">
        <w:tc>
          <w:tcPr>
            <w:tcW w:w="647" w:type="dxa"/>
            <w:tcBorders>
              <w:top w:val="single" w:sz="4" w:space="0" w:color="000000"/>
              <w:left w:val="single" w:sz="4" w:space="0" w:color="000000"/>
              <w:bottom w:val="single" w:sz="4" w:space="0" w:color="000000"/>
              <w:right w:val="single" w:sz="4" w:space="0" w:color="000000"/>
            </w:tcBorders>
          </w:tcPr>
          <w:p w14:paraId="2340DD05"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0A6BDD44"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8.5.1</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67142203" w14:textId="77777777" w:rsidR="001A666F" w:rsidRPr="006F1F8F" w:rsidRDefault="001A666F" w:rsidP="00F02DA4">
            <w:pPr>
              <w:pStyle w:val="REG-P0"/>
              <w:rPr>
                <w:sz w:val="20"/>
                <w:szCs w:val="20"/>
                <w:lang w:val="en-US" w:eastAsia="en-US"/>
              </w:rPr>
            </w:pPr>
            <w:r w:rsidRPr="006F1F8F">
              <w:rPr>
                <w:sz w:val="20"/>
                <w:szCs w:val="20"/>
                <w:lang w:val="en-ZA" w:eastAsia="en-US"/>
              </w:rPr>
              <w:t>Special event broadcast spectrum licence maximum 10 Watt (fee per day up to a maximum capped fee equal to 30 days’ daily fee. If period thereafter exceeds 30 days the maximum fee shall then apply)</w:t>
            </w:r>
          </w:p>
        </w:tc>
        <w:tc>
          <w:tcPr>
            <w:tcW w:w="1417" w:type="dxa"/>
            <w:tcBorders>
              <w:top w:val="single" w:sz="4" w:space="0" w:color="000000"/>
              <w:left w:val="single" w:sz="4" w:space="0" w:color="000000"/>
              <w:bottom w:val="single" w:sz="4" w:space="0" w:color="000000"/>
              <w:right w:val="single" w:sz="4" w:space="0" w:color="000000"/>
            </w:tcBorders>
            <w:hideMark/>
          </w:tcPr>
          <w:p w14:paraId="0A69C2A8"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792.00</w:t>
            </w:r>
          </w:p>
          <w:p w14:paraId="165D5A49"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Maximum fee: 23,764.00</w:t>
            </w:r>
          </w:p>
        </w:tc>
      </w:tr>
      <w:tr w:rsidR="001A666F" w:rsidRPr="006F1F8F" w14:paraId="60C63E7A" w14:textId="77777777" w:rsidTr="00F02DA4">
        <w:tc>
          <w:tcPr>
            <w:tcW w:w="647" w:type="dxa"/>
            <w:tcBorders>
              <w:top w:val="single" w:sz="4" w:space="0" w:color="000000"/>
              <w:left w:val="single" w:sz="4" w:space="0" w:color="000000"/>
              <w:bottom w:val="single" w:sz="4" w:space="0" w:color="000000"/>
              <w:right w:val="single" w:sz="4" w:space="0" w:color="000000"/>
            </w:tcBorders>
          </w:tcPr>
          <w:p w14:paraId="171D5946" w14:textId="77777777" w:rsidR="001A666F" w:rsidRPr="006F1F8F" w:rsidRDefault="001A666F" w:rsidP="00F02DA4">
            <w:pPr>
              <w:pStyle w:val="REG-P0"/>
              <w:autoSpaceDE w:val="0"/>
              <w:autoSpaceDN w:val="0"/>
              <w:jc w:val="left"/>
              <w:rPr>
                <w:sz w:val="20"/>
                <w:szCs w:val="20"/>
                <w:lang w:val="en-US" w:eastAsia="en-US"/>
              </w:rPr>
            </w:pPr>
          </w:p>
        </w:tc>
        <w:tc>
          <w:tcPr>
            <w:tcW w:w="769" w:type="dxa"/>
            <w:tcBorders>
              <w:top w:val="single" w:sz="4" w:space="0" w:color="000000"/>
              <w:left w:val="single" w:sz="4" w:space="0" w:color="000000"/>
              <w:bottom w:val="single" w:sz="4" w:space="0" w:color="000000"/>
              <w:right w:val="single" w:sz="4" w:space="0" w:color="000000"/>
            </w:tcBorders>
            <w:hideMark/>
          </w:tcPr>
          <w:p w14:paraId="5BF69F88"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8.5.2</w:t>
            </w:r>
          </w:p>
        </w:tc>
        <w:tc>
          <w:tcPr>
            <w:tcW w:w="5672" w:type="dxa"/>
            <w:gridSpan w:val="2"/>
            <w:tcBorders>
              <w:top w:val="single" w:sz="4" w:space="0" w:color="000000"/>
              <w:left w:val="single" w:sz="4" w:space="0" w:color="000000"/>
              <w:bottom w:val="single" w:sz="4" w:space="0" w:color="000000"/>
              <w:right w:val="single" w:sz="4" w:space="0" w:color="000000"/>
            </w:tcBorders>
            <w:hideMark/>
          </w:tcPr>
          <w:p w14:paraId="1F52FAB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Outside broadcasting vehicle links (per event irrespective of duration)</w:t>
            </w:r>
          </w:p>
        </w:tc>
        <w:tc>
          <w:tcPr>
            <w:tcW w:w="1417" w:type="dxa"/>
            <w:tcBorders>
              <w:top w:val="single" w:sz="4" w:space="0" w:color="000000"/>
              <w:left w:val="single" w:sz="4" w:space="0" w:color="000000"/>
              <w:bottom w:val="single" w:sz="4" w:space="0" w:color="000000"/>
              <w:right w:val="single" w:sz="4" w:space="0" w:color="000000"/>
            </w:tcBorders>
            <w:hideMark/>
          </w:tcPr>
          <w:p w14:paraId="4D696EA3"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5,281.00</w:t>
            </w:r>
          </w:p>
        </w:tc>
      </w:tr>
      <w:tr w:rsidR="00DD4E8D" w:rsidRPr="006F1F8F" w14:paraId="52F350BA" w14:textId="77777777" w:rsidTr="00DD4E8D">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F39AECA" w14:textId="14575378" w:rsidR="00DD4E8D" w:rsidRPr="006F1F8F" w:rsidRDefault="00DD4E8D" w:rsidP="00DD4E8D">
            <w:pPr>
              <w:pStyle w:val="REG-P0"/>
              <w:autoSpaceDE w:val="0"/>
              <w:autoSpaceDN w:val="0"/>
              <w:rPr>
                <w:b/>
                <w:sz w:val="20"/>
                <w:szCs w:val="20"/>
                <w:lang w:val="en-US" w:eastAsia="en-US"/>
              </w:rPr>
            </w:pPr>
            <w:r w:rsidRPr="006F1F8F">
              <w:rPr>
                <w:b/>
                <w:sz w:val="20"/>
                <w:szCs w:val="20"/>
                <w:lang w:val="en-US" w:eastAsia="en-US"/>
              </w:rPr>
              <w:t>9.</w:t>
            </w:r>
            <w:r w:rsidRPr="006F1F8F">
              <w:t xml:space="preserve"> </w:t>
            </w:r>
            <w:r w:rsidRPr="006F1F8F">
              <w:tab/>
            </w:r>
            <w:r w:rsidRPr="006F1F8F">
              <w:rPr>
                <w:b/>
                <w:sz w:val="20"/>
                <w:szCs w:val="20"/>
                <w:lang w:val="en-US" w:eastAsia="en-US"/>
              </w:rPr>
              <w:t xml:space="preserve">MISCELLANEOUS </w:t>
            </w:r>
          </w:p>
        </w:tc>
      </w:tr>
      <w:tr w:rsidR="001A666F" w:rsidRPr="006F1F8F" w14:paraId="4E345718"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5B6CC52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9.1</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76D3BA2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National Security Forces</w:t>
            </w:r>
          </w:p>
        </w:tc>
        <w:tc>
          <w:tcPr>
            <w:tcW w:w="1417" w:type="dxa"/>
            <w:tcBorders>
              <w:top w:val="single" w:sz="4" w:space="0" w:color="000000"/>
              <w:left w:val="single" w:sz="4" w:space="0" w:color="000000"/>
              <w:bottom w:val="single" w:sz="4" w:space="0" w:color="000000"/>
              <w:right w:val="single" w:sz="4" w:space="0" w:color="000000"/>
            </w:tcBorders>
            <w:hideMark/>
          </w:tcPr>
          <w:p w14:paraId="339AA18C"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87,133.00</w:t>
            </w:r>
          </w:p>
        </w:tc>
      </w:tr>
      <w:tr w:rsidR="001A666F" w:rsidRPr="006F1F8F" w14:paraId="3B069967"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8FE086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9.2</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5494A18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Namibia Defence Force</w:t>
            </w:r>
          </w:p>
        </w:tc>
        <w:tc>
          <w:tcPr>
            <w:tcW w:w="1417" w:type="dxa"/>
            <w:tcBorders>
              <w:top w:val="single" w:sz="4" w:space="0" w:color="000000"/>
              <w:left w:val="single" w:sz="4" w:space="0" w:color="000000"/>
              <w:bottom w:val="single" w:sz="4" w:space="0" w:color="000000"/>
              <w:right w:val="single" w:sz="4" w:space="0" w:color="000000"/>
            </w:tcBorders>
            <w:hideMark/>
          </w:tcPr>
          <w:p w14:paraId="65063AB2"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87,133.00</w:t>
            </w:r>
          </w:p>
        </w:tc>
      </w:tr>
      <w:tr w:rsidR="001A666F" w:rsidRPr="006F1F8F" w14:paraId="303CCF72"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0737DCF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9.3</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05257DDA"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Competency certificate (radios above 400 Watt)</w:t>
            </w:r>
          </w:p>
        </w:tc>
        <w:tc>
          <w:tcPr>
            <w:tcW w:w="1417" w:type="dxa"/>
            <w:tcBorders>
              <w:top w:val="single" w:sz="4" w:space="0" w:color="000000"/>
              <w:left w:val="single" w:sz="4" w:space="0" w:color="000000"/>
              <w:bottom w:val="single" w:sz="4" w:space="0" w:color="000000"/>
              <w:right w:val="single" w:sz="4" w:space="0" w:color="000000"/>
            </w:tcBorders>
            <w:hideMark/>
          </w:tcPr>
          <w:p w14:paraId="0A59C08E"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112.00</w:t>
            </w:r>
          </w:p>
        </w:tc>
      </w:tr>
      <w:tr w:rsidR="001A666F" w:rsidRPr="006F1F8F" w14:paraId="66114B20"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27EF034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9.4</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175EBEB3"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Duplicate spectrum licences</w:t>
            </w:r>
          </w:p>
        </w:tc>
        <w:tc>
          <w:tcPr>
            <w:tcW w:w="1417" w:type="dxa"/>
            <w:tcBorders>
              <w:top w:val="single" w:sz="4" w:space="0" w:color="000000"/>
              <w:left w:val="single" w:sz="4" w:space="0" w:color="000000"/>
              <w:bottom w:val="single" w:sz="4" w:space="0" w:color="000000"/>
              <w:right w:val="single" w:sz="4" w:space="0" w:color="000000"/>
            </w:tcBorders>
            <w:hideMark/>
          </w:tcPr>
          <w:p w14:paraId="28C69A11"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112.00</w:t>
            </w:r>
          </w:p>
        </w:tc>
      </w:tr>
      <w:tr w:rsidR="001A666F" w:rsidRPr="006F1F8F" w14:paraId="5D56127F" w14:textId="77777777" w:rsidTr="00F02DA4">
        <w:tc>
          <w:tcPr>
            <w:tcW w:w="647" w:type="dxa"/>
            <w:tcBorders>
              <w:top w:val="single" w:sz="4" w:space="0" w:color="000000"/>
              <w:left w:val="single" w:sz="4" w:space="0" w:color="000000"/>
              <w:bottom w:val="single" w:sz="4" w:space="0" w:color="000000"/>
              <w:right w:val="single" w:sz="4" w:space="0" w:color="000000"/>
            </w:tcBorders>
          </w:tcPr>
          <w:p w14:paraId="407BF95F"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9.5</w:t>
            </w:r>
          </w:p>
        </w:tc>
        <w:tc>
          <w:tcPr>
            <w:tcW w:w="6441" w:type="dxa"/>
            <w:gridSpan w:val="3"/>
            <w:tcBorders>
              <w:top w:val="single" w:sz="4" w:space="0" w:color="000000"/>
              <w:left w:val="single" w:sz="4" w:space="0" w:color="000000"/>
              <w:bottom w:val="single" w:sz="4" w:space="0" w:color="000000"/>
              <w:right w:val="single" w:sz="4" w:space="0" w:color="000000"/>
            </w:tcBorders>
          </w:tcPr>
          <w:p w14:paraId="6F1A76D1"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Amendment of spectrum licences</w:t>
            </w:r>
          </w:p>
        </w:tc>
        <w:tc>
          <w:tcPr>
            <w:tcW w:w="1417" w:type="dxa"/>
            <w:tcBorders>
              <w:top w:val="single" w:sz="4" w:space="0" w:color="000000"/>
              <w:left w:val="single" w:sz="4" w:space="0" w:color="000000"/>
              <w:bottom w:val="single" w:sz="4" w:space="0" w:color="000000"/>
              <w:right w:val="single" w:sz="4" w:space="0" w:color="000000"/>
            </w:tcBorders>
          </w:tcPr>
          <w:p w14:paraId="654D30CD"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101.00</w:t>
            </w:r>
          </w:p>
        </w:tc>
      </w:tr>
      <w:tr w:rsidR="001A666F" w:rsidRPr="006F1F8F" w14:paraId="783019B6" w14:textId="77777777" w:rsidTr="00F02DA4">
        <w:tc>
          <w:tcPr>
            <w:tcW w:w="647" w:type="dxa"/>
            <w:tcBorders>
              <w:top w:val="single" w:sz="4" w:space="0" w:color="000000"/>
              <w:left w:val="single" w:sz="4" w:space="0" w:color="000000"/>
              <w:bottom w:val="single" w:sz="4" w:space="0" w:color="000000"/>
              <w:right w:val="single" w:sz="4" w:space="0" w:color="000000"/>
            </w:tcBorders>
            <w:hideMark/>
          </w:tcPr>
          <w:p w14:paraId="4A106CCD"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9.6</w:t>
            </w:r>
          </w:p>
        </w:tc>
        <w:tc>
          <w:tcPr>
            <w:tcW w:w="6441" w:type="dxa"/>
            <w:gridSpan w:val="3"/>
            <w:tcBorders>
              <w:top w:val="single" w:sz="4" w:space="0" w:color="000000"/>
              <w:left w:val="single" w:sz="4" w:space="0" w:color="000000"/>
              <w:bottom w:val="single" w:sz="4" w:space="0" w:color="000000"/>
              <w:right w:val="single" w:sz="4" w:space="0" w:color="000000"/>
            </w:tcBorders>
            <w:hideMark/>
          </w:tcPr>
          <w:p w14:paraId="732AC611"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Photocopies per A4 sheet</w:t>
            </w:r>
          </w:p>
        </w:tc>
        <w:tc>
          <w:tcPr>
            <w:tcW w:w="1417" w:type="dxa"/>
            <w:tcBorders>
              <w:top w:val="single" w:sz="4" w:space="0" w:color="000000"/>
              <w:left w:val="single" w:sz="4" w:space="0" w:color="000000"/>
              <w:bottom w:val="single" w:sz="4" w:space="0" w:color="000000"/>
              <w:right w:val="single" w:sz="4" w:space="0" w:color="000000"/>
            </w:tcBorders>
            <w:hideMark/>
          </w:tcPr>
          <w:p w14:paraId="4AFD72F6"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2.00</w:t>
            </w:r>
          </w:p>
        </w:tc>
      </w:tr>
      <w:tr w:rsidR="001A666F" w:rsidRPr="006F1F8F" w14:paraId="1BD47100" w14:textId="77777777" w:rsidTr="00F02DA4">
        <w:tc>
          <w:tcPr>
            <w:tcW w:w="647" w:type="dxa"/>
            <w:tcBorders>
              <w:top w:val="single" w:sz="4" w:space="0" w:color="000000"/>
              <w:left w:val="single" w:sz="4" w:space="0" w:color="000000"/>
              <w:bottom w:val="single" w:sz="4" w:space="0" w:color="000000"/>
              <w:right w:val="single" w:sz="4" w:space="0" w:color="000000"/>
            </w:tcBorders>
          </w:tcPr>
          <w:p w14:paraId="68574CDB"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9.10</w:t>
            </w:r>
          </w:p>
        </w:tc>
        <w:tc>
          <w:tcPr>
            <w:tcW w:w="6441" w:type="dxa"/>
            <w:gridSpan w:val="3"/>
            <w:tcBorders>
              <w:top w:val="single" w:sz="4" w:space="0" w:color="000000"/>
              <w:left w:val="single" w:sz="4" w:space="0" w:color="000000"/>
              <w:bottom w:val="single" w:sz="4" w:space="0" w:color="000000"/>
              <w:right w:val="single" w:sz="4" w:space="0" w:color="000000"/>
            </w:tcBorders>
          </w:tcPr>
          <w:p w14:paraId="782C6391" w14:textId="77777777" w:rsidR="001A666F" w:rsidRPr="006F1F8F" w:rsidRDefault="001A666F" w:rsidP="00F02DA4">
            <w:pPr>
              <w:pStyle w:val="REG-P0"/>
              <w:autoSpaceDE w:val="0"/>
              <w:autoSpaceDN w:val="0"/>
              <w:jc w:val="left"/>
              <w:rPr>
                <w:sz w:val="20"/>
                <w:szCs w:val="20"/>
                <w:lang w:val="en-US" w:eastAsia="en-US"/>
              </w:rPr>
            </w:pPr>
            <w:r w:rsidRPr="006F1F8F">
              <w:rPr>
                <w:sz w:val="20"/>
                <w:szCs w:val="20"/>
                <w:lang w:val="en-US" w:eastAsia="en-US"/>
              </w:rPr>
              <w:t>Radio location</w:t>
            </w:r>
          </w:p>
        </w:tc>
        <w:tc>
          <w:tcPr>
            <w:tcW w:w="1417" w:type="dxa"/>
            <w:tcBorders>
              <w:top w:val="single" w:sz="4" w:space="0" w:color="000000"/>
              <w:left w:val="single" w:sz="4" w:space="0" w:color="000000"/>
              <w:bottom w:val="single" w:sz="4" w:space="0" w:color="000000"/>
              <w:right w:val="single" w:sz="4" w:space="0" w:color="000000"/>
            </w:tcBorders>
          </w:tcPr>
          <w:p w14:paraId="59F4B519" w14:textId="77777777" w:rsidR="001A666F" w:rsidRPr="006F1F8F" w:rsidRDefault="001A666F" w:rsidP="00F02DA4">
            <w:pPr>
              <w:pStyle w:val="REG-P0"/>
              <w:autoSpaceDE w:val="0"/>
              <w:autoSpaceDN w:val="0"/>
              <w:jc w:val="right"/>
              <w:rPr>
                <w:sz w:val="20"/>
                <w:szCs w:val="20"/>
                <w:lang w:val="en-US" w:eastAsia="en-US"/>
              </w:rPr>
            </w:pPr>
            <w:r w:rsidRPr="006F1F8F">
              <w:rPr>
                <w:sz w:val="20"/>
                <w:szCs w:val="20"/>
                <w:lang w:val="en-US" w:eastAsia="en-US"/>
              </w:rPr>
              <w:t>950.00</w:t>
            </w:r>
          </w:p>
        </w:tc>
      </w:tr>
    </w:tbl>
    <w:p w14:paraId="3FFFDC93" w14:textId="77777777" w:rsidR="001A666F" w:rsidRDefault="001A666F" w:rsidP="001A666F">
      <w:pPr>
        <w:pStyle w:val="REG-P0"/>
      </w:pPr>
    </w:p>
    <w:p w14:paraId="660E3E8D" w14:textId="77777777" w:rsidR="00166BA4" w:rsidRDefault="00166BA4" w:rsidP="00584D9B">
      <w:pPr>
        <w:pStyle w:val="REG-P0"/>
        <w:rPr>
          <w:rFonts w:eastAsiaTheme="minorHAnsi"/>
          <w:noProof w:val="0"/>
          <w:color w:val="221E1F"/>
        </w:rPr>
      </w:pPr>
      <w:r w:rsidRPr="00166BA4">
        <w:rPr>
          <w:rFonts w:eastAsiaTheme="minorHAnsi"/>
          <w:noProof w:val="0"/>
          <w:color w:val="221E1F"/>
        </w:rPr>
        <w:t xml:space="preserve">If Point to Point or Point to Multipoint is less than N$500.00, a fee of N$500.00 will be charged inclusive of studio links for broadcasting. </w:t>
      </w:r>
    </w:p>
    <w:p w14:paraId="21B916D8" w14:textId="77777777" w:rsidR="00166BA4" w:rsidRDefault="00166BA4" w:rsidP="00584D9B">
      <w:pPr>
        <w:pStyle w:val="REG-P0"/>
        <w:rPr>
          <w:rFonts w:eastAsiaTheme="minorHAnsi"/>
          <w:noProof w:val="0"/>
          <w:color w:val="221E1F"/>
        </w:rPr>
      </w:pPr>
    </w:p>
    <w:p w14:paraId="13647654" w14:textId="3E536E3E" w:rsidR="00584D9B" w:rsidRDefault="00584D9B" w:rsidP="00584D9B">
      <w:pPr>
        <w:pStyle w:val="REG-P0"/>
        <w:rPr>
          <w:lang w:val="en-ZA"/>
        </w:rPr>
      </w:pPr>
      <w:r>
        <w:rPr>
          <w:rFonts w:ascii="TimesNewRomanPS-BoldMT" w:hAnsi="TimesNewRomanPS-BoldMT" w:cs="TimesNewRomanPS-BoldMT"/>
          <w:b/>
          <w:bCs/>
          <w:noProof w:val="0"/>
          <w:lang w:val="en-ZA"/>
        </w:rPr>
        <w:t>Formula-based fees</w:t>
      </w:r>
      <w:r w:rsidRPr="00584D9B">
        <w:rPr>
          <w:lang w:val="en-ZA"/>
        </w:rPr>
        <w:t xml:space="preserve"> </w:t>
      </w:r>
    </w:p>
    <w:p w14:paraId="010DE527" w14:textId="77777777" w:rsidR="00713BBB" w:rsidRDefault="00713BBB" w:rsidP="00584D9B">
      <w:pPr>
        <w:pStyle w:val="REG-P0"/>
        <w:rPr>
          <w:lang w:val="en-ZA"/>
        </w:rPr>
      </w:pPr>
    </w:p>
    <w:p w14:paraId="1C0A3496" w14:textId="7AC595B0" w:rsidR="002A088E" w:rsidRPr="00584D9B" w:rsidRDefault="00584D9B" w:rsidP="002A088E">
      <w:pPr>
        <w:pStyle w:val="REG-P1"/>
        <w:rPr>
          <w:lang w:val="en-ZA"/>
        </w:rPr>
      </w:pPr>
      <w:r w:rsidRPr="00713BBB">
        <w:rPr>
          <w:b/>
          <w:lang w:val="en-ZA"/>
        </w:rPr>
        <w:t>5.</w:t>
      </w:r>
      <w:r>
        <w:rPr>
          <w:lang w:val="en-ZA"/>
        </w:rPr>
        <w:t xml:space="preserve"> </w:t>
      </w:r>
      <w:r w:rsidR="00713BBB">
        <w:rPr>
          <w:lang w:val="en-ZA"/>
        </w:rPr>
        <w:tab/>
      </w:r>
      <w:r w:rsidR="002A088E" w:rsidRPr="00584D9B">
        <w:rPr>
          <w:lang w:val="en-ZA"/>
        </w:rPr>
        <w:t xml:space="preserve">(1) </w:t>
      </w:r>
      <w:r w:rsidR="002A088E">
        <w:rPr>
          <w:lang w:val="en-ZA"/>
        </w:rPr>
        <w:tab/>
      </w:r>
      <w:r w:rsidR="002A088E" w:rsidRPr="00584D9B">
        <w:rPr>
          <w:lang w:val="en-ZA"/>
        </w:rPr>
        <w:t>For purposes of this regulation</w:t>
      </w:r>
      <w:r w:rsidR="002A088E">
        <w:rPr>
          <w:lang w:val="en-ZA"/>
        </w:rPr>
        <w:t xml:space="preserve"> </w:t>
      </w:r>
      <w:r w:rsidR="002A088E" w:rsidRPr="00584D9B">
        <w:rPr>
          <w:lang w:val="en-ZA"/>
        </w:rPr>
        <w:t>-</w:t>
      </w:r>
    </w:p>
    <w:p w14:paraId="4E9027D9" w14:textId="77777777" w:rsidR="002A088E" w:rsidRDefault="002A088E" w:rsidP="002A088E">
      <w:pPr>
        <w:pStyle w:val="REG-P0"/>
        <w:rPr>
          <w:lang w:val="en-ZA"/>
        </w:rPr>
      </w:pPr>
    </w:p>
    <w:p w14:paraId="0B558302" w14:textId="77777777" w:rsidR="002A088E" w:rsidRPr="00584D9B" w:rsidRDefault="002A088E" w:rsidP="002A088E">
      <w:pPr>
        <w:pStyle w:val="REG-Pa"/>
        <w:rPr>
          <w:lang w:val="en-ZA"/>
        </w:rPr>
      </w:pPr>
      <w:r w:rsidRPr="00584D9B">
        <w:rPr>
          <w:lang w:val="en-ZA"/>
        </w:rPr>
        <w:t xml:space="preserve">(a) </w:t>
      </w:r>
      <w:r>
        <w:rPr>
          <w:lang w:val="en-ZA"/>
        </w:rPr>
        <w:tab/>
      </w:r>
      <w:r w:rsidRPr="00584D9B">
        <w:rPr>
          <w:lang w:val="en-ZA"/>
        </w:rPr>
        <w:t>“BV” is an acronym for base value measured in Namibian Dollars per MHz and is</w:t>
      </w:r>
      <w:r>
        <w:rPr>
          <w:lang w:val="en-ZA"/>
        </w:rPr>
        <w:t xml:space="preserve"> </w:t>
      </w:r>
      <w:r w:rsidRPr="00584D9B">
        <w:rPr>
          <w:lang w:val="en-ZA"/>
        </w:rPr>
        <w:t>currently set at</w:t>
      </w:r>
      <w:r>
        <w:rPr>
          <w:lang w:val="en-ZA"/>
        </w:rPr>
        <w:t xml:space="preserve"> </w:t>
      </w:r>
      <w:r w:rsidRPr="00584D9B">
        <w:rPr>
          <w:lang w:val="en-ZA"/>
        </w:rPr>
        <w:t>-</w:t>
      </w:r>
    </w:p>
    <w:p w14:paraId="6A8F88AA" w14:textId="77777777" w:rsidR="002A088E" w:rsidRDefault="002A088E" w:rsidP="002A088E">
      <w:pPr>
        <w:pStyle w:val="REG-Pi"/>
        <w:rPr>
          <w:lang w:val="en-ZA"/>
        </w:rPr>
      </w:pPr>
    </w:p>
    <w:p w14:paraId="1F7AD0A7" w14:textId="77777777" w:rsidR="002A088E" w:rsidRDefault="002A088E" w:rsidP="002A088E">
      <w:pPr>
        <w:pStyle w:val="REG-Pi"/>
        <w:rPr>
          <w:lang w:val="en-ZA"/>
        </w:rPr>
      </w:pPr>
      <w:r w:rsidRPr="00584D9B">
        <w:rPr>
          <w:lang w:val="en-ZA"/>
        </w:rPr>
        <w:t xml:space="preserve">(i) </w:t>
      </w:r>
      <w:r>
        <w:rPr>
          <w:lang w:val="en-ZA"/>
        </w:rPr>
        <w:tab/>
      </w:r>
      <w:r w:rsidRPr="00584D9B">
        <w:rPr>
          <w:lang w:val="en-ZA"/>
        </w:rPr>
        <w:t>N$ 1,</w:t>
      </w:r>
      <w:r>
        <w:rPr>
          <w:lang w:val="en-ZA"/>
        </w:rPr>
        <w:t>100</w:t>
      </w:r>
      <w:r w:rsidRPr="00584D9B">
        <w:rPr>
          <w:lang w:val="en-ZA"/>
        </w:rPr>
        <w:t>.00 for mobile services;</w:t>
      </w:r>
    </w:p>
    <w:p w14:paraId="45A369EA" w14:textId="77777777" w:rsidR="002A088E" w:rsidRPr="00584D9B" w:rsidRDefault="002A088E" w:rsidP="002A088E">
      <w:pPr>
        <w:pStyle w:val="REG-Pi"/>
        <w:rPr>
          <w:lang w:val="en-ZA"/>
        </w:rPr>
      </w:pPr>
    </w:p>
    <w:p w14:paraId="29230848" w14:textId="77777777" w:rsidR="002A088E" w:rsidRDefault="002A088E" w:rsidP="002A088E">
      <w:pPr>
        <w:pStyle w:val="REG-Pi"/>
        <w:rPr>
          <w:lang w:val="en-ZA"/>
        </w:rPr>
      </w:pPr>
      <w:r w:rsidRPr="00584D9B">
        <w:rPr>
          <w:lang w:val="en-ZA"/>
        </w:rPr>
        <w:t xml:space="preserve">(ii) </w:t>
      </w:r>
      <w:r>
        <w:rPr>
          <w:lang w:val="en-ZA"/>
        </w:rPr>
        <w:tab/>
      </w:r>
      <w:r w:rsidRPr="00584D9B">
        <w:rPr>
          <w:lang w:val="en-ZA"/>
        </w:rPr>
        <w:t xml:space="preserve">N$ </w:t>
      </w:r>
      <w:r>
        <w:rPr>
          <w:lang w:val="en-ZA"/>
        </w:rPr>
        <w:t>98</w:t>
      </w:r>
      <w:r w:rsidRPr="00584D9B">
        <w:rPr>
          <w:lang w:val="en-ZA"/>
        </w:rPr>
        <w:t>.00 for fixed services; and</w:t>
      </w:r>
    </w:p>
    <w:p w14:paraId="40017691" w14:textId="77777777" w:rsidR="002A088E" w:rsidRPr="00584D9B" w:rsidRDefault="002A088E" w:rsidP="002A088E">
      <w:pPr>
        <w:pStyle w:val="REG-Pi"/>
        <w:rPr>
          <w:lang w:val="en-ZA"/>
        </w:rPr>
      </w:pPr>
    </w:p>
    <w:p w14:paraId="132E6C4C" w14:textId="77777777" w:rsidR="002A088E" w:rsidRDefault="002A088E" w:rsidP="002A088E">
      <w:pPr>
        <w:pStyle w:val="REG-Pi"/>
        <w:rPr>
          <w:lang w:val="en-ZA"/>
        </w:rPr>
      </w:pPr>
      <w:r w:rsidRPr="00584D9B">
        <w:rPr>
          <w:lang w:val="en-ZA"/>
        </w:rPr>
        <w:t xml:space="preserve">(iii) </w:t>
      </w:r>
      <w:r>
        <w:rPr>
          <w:lang w:val="en-ZA"/>
        </w:rPr>
        <w:tab/>
      </w:r>
      <w:r w:rsidRPr="00584D9B">
        <w:rPr>
          <w:lang w:val="en-ZA"/>
        </w:rPr>
        <w:t>N$ 5</w:t>
      </w:r>
      <w:r>
        <w:rPr>
          <w:lang w:val="en-ZA"/>
        </w:rPr>
        <w:t>50</w:t>
      </w:r>
      <w:r w:rsidRPr="00584D9B">
        <w:rPr>
          <w:lang w:val="en-ZA"/>
        </w:rPr>
        <w:t>.00 for fixed and mobile satellite services;</w:t>
      </w:r>
    </w:p>
    <w:p w14:paraId="76FD6E5B" w14:textId="77777777" w:rsidR="002A088E" w:rsidRDefault="002A088E" w:rsidP="002A088E">
      <w:pPr>
        <w:pStyle w:val="REG-Pi"/>
        <w:rPr>
          <w:lang w:val="en-ZA"/>
        </w:rPr>
      </w:pPr>
    </w:p>
    <w:p w14:paraId="737F9596" w14:textId="3CC1FB49" w:rsidR="002A088E" w:rsidRDefault="002A088E" w:rsidP="002A088E">
      <w:pPr>
        <w:pStyle w:val="REG-Amend"/>
      </w:pPr>
      <w:r>
        <w:t>[</w:t>
      </w:r>
      <w:r w:rsidR="00915936">
        <w:t>The introductory phrase of subregulation (1) and p</w:t>
      </w:r>
      <w:r>
        <w:t xml:space="preserve">aragraph (a) </w:t>
      </w:r>
      <w:r w:rsidR="00915936">
        <w:br/>
        <w:t xml:space="preserve">are </w:t>
      </w:r>
      <w:r>
        <w:t>substituted by General Notice 738/2023</w:t>
      </w:r>
      <w:r w:rsidR="00915936">
        <w:t>.</w:t>
      </w:r>
      <w:r>
        <w:t>]</w:t>
      </w:r>
    </w:p>
    <w:p w14:paraId="009A9781" w14:textId="77777777" w:rsidR="002A088E" w:rsidRPr="00584D9B" w:rsidRDefault="002A088E" w:rsidP="002A088E">
      <w:pPr>
        <w:pStyle w:val="REG-Pi"/>
        <w:rPr>
          <w:lang w:val="en-ZA"/>
        </w:rPr>
      </w:pPr>
    </w:p>
    <w:p w14:paraId="5EAC944C" w14:textId="472E3F9D" w:rsidR="00584D9B" w:rsidRDefault="00584D9B" w:rsidP="00713BBB">
      <w:pPr>
        <w:pStyle w:val="REG-Pa"/>
        <w:rPr>
          <w:lang w:val="en-ZA"/>
        </w:rPr>
      </w:pPr>
      <w:r w:rsidRPr="00584D9B">
        <w:rPr>
          <w:lang w:val="en-ZA"/>
        </w:rPr>
        <w:t xml:space="preserve">(b) </w:t>
      </w:r>
      <w:r w:rsidR="00713BBB">
        <w:rPr>
          <w:lang w:val="en-ZA"/>
        </w:rPr>
        <w:tab/>
      </w:r>
      <w:r w:rsidRPr="00584D9B">
        <w:rPr>
          <w:lang w:val="en-ZA"/>
        </w:rPr>
        <w:t>BV is calculated to fully recover the Authority’s spectrum management costs in</w:t>
      </w:r>
      <w:r w:rsidR="00713BBB">
        <w:rPr>
          <w:lang w:val="en-ZA"/>
        </w:rPr>
        <w:t xml:space="preserve"> </w:t>
      </w:r>
      <w:r w:rsidRPr="00584D9B">
        <w:rPr>
          <w:lang w:val="en-ZA"/>
        </w:rPr>
        <w:t>accordance with the formula:</w:t>
      </w:r>
    </w:p>
    <w:p w14:paraId="544B369C" w14:textId="77777777" w:rsidR="00713BBB" w:rsidRPr="00584D9B" w:rsidRDefault="00713BBB" w:rsidP="00713BBB">
      <w:pPr>
        <w:pStyle w:val="REG-Pa"/>
        <w:rPr>
          <w:lang w:val="en-ZA"/>
        </w:rPr>
      </w:pPr>
    </w:p>
    <w:p w14:paraId="1DC21F46" w14:textId="77777777" w:rsidR="00584D9B" w:rsidRPr="00584D9B" w:rsidRDefault="00584D9B" w:rsidP="002F5BDB">
      <w:pPr>
        <w:pStyle w:val="REG-P0"/>
        <w:jc w:val="center"/>
        <w:rPr>
          <w:i/>
          <w:iCs/>
          <w:lang w:val="en-ZA"/>
        </w:rPr>
      </w:pPr>
      <w:r w:rsidRPr="00584D9B">
        <w:rPr>
          <w:i/>
          <w:iCs/>
          <w:lang w:val="en-ZA"/>
        </w:rPr>
        <w:t>Total expected spectrum management costs – expected revenue raised from flat spectrum fees</w:t>
      </w:r>
    </w:p>
    <w:p w14:paraId="3B3676FA" w14:textId="77777777" w:rsidR="00584D9B" w:rsidRPr="00584D9B" w:rsidRDefault="00584D9B" w:rsidP="002F5BDB">
      <w:pPr>
        <w:pStyle w:val="REG-P0"/>
        <w:jc w:val="center"/>
        <w:rPr>
          <w:i/>
          <w:iCs/>
          <w:lang w:val="en-ZA"/>
        </w:rPr>
      </w:pPr>
      <w:r w:rsidRPr="00584D9B">
        <w:rPr>
          <w:i/>
          <w:iCs/>
          <w:lang w:val="en-ZA"/>
        </w:rPr>
        <w:t>BV = _________________________________________________________________</w:t>
      </w:r>
    </w:p>
    <w:p w14:paraId="337F37A7" w14:textId="77777777" w:rsidR="00584D9B" w:rsidRPr="00584D9B" w:rsidRDefault="00584D9B" w:rsidP="002F5BDB">
      <w:pPr>
        <w:pStyle w:val="REG-P0"/>
        <w:jc w:val="center"/>
        <w:rPr>
          <w:i/>
          <w:iCs/>
          <w:lang w:val="en-ZA"/>
        </w:rPr>
      </w:pPr>
      <w:r w:rsidRPr="00584D9B">
        <w:rPr>
          <w:i/>
          <w:iCs/>
          <w:lang w:val="en-ZA"/>
        </w:rPr>
        <w:t>(BWFxFBFxCFxSHRFxGEOFxTF)</w:t>
      </w:r>
    </w:p>
    <w:p w14:paraId="2F04AEE1" w14:textId="77777777" w:rsidR="002F5BDB" w:rsidRDefault="002F5BDB" w:rsidP="00584D9B">
      <w:pPr>
        <w:pStyle w:val="REG-P0"/>
        <w:rPr>
          <w:lang w:val="en-ZA"/>
        </w:rPr>
      </w:pPr>
    </w:p>
    <w:p w14:paraId="783B9771" w14:textId="61BD92B4" w:rsidR="00584D9B" w:rsidRDefault="00584D9B" w:rsidP="002F5BDB">
      <w:pPr>
        <w:pStyle w:val="REG-Pa"/>
        <w:rPr>
          <w:lang w:val="en-ZA"/>
        </w:rPr>
      </w:pPr>
      <w:r w:rsidRPr="00584D9B">
        <w:rPr>
          <w:lang w:val="en-ZA"/>
        </w:rPr>
        <w:t xml:space="preserve">(c) </w:t>
      </w:r>
      <w:r w:rsidR="002F5BDB">
        <w:rPr>
          <w:lang w:val="en-ZA"/>
        </w:rPr>
        <w:tab/>
      </w:r>
      <w:r w:rsidRPr="00584D9B">
        <w:rPr>
          <w:lang w:val="en-ZA"/>
        </w:rPr>
        <w:t>“BWF” is an acronym for bandwidth factor and refers to the bandwidth indicated in</w:t>
      </w:r>
      <w:r w:rsidR="002F5BDB">
        <w:rPr>
          <w:lang w:val="en-ZA"/>
        </w:rPr>
        <w:t xml:space="preserve"> </w:t>
      </w:r>
      <w:r w:rsidRPr="00584D9B">
        <w:rPr>
          <w:lang w:val="en-ZA"/>
        </w:rPr>
        <w:t>MHz, which is assigned to a licensee in terms of a spectrum licence;</w:t>
      </w:r>
    </w:p>
    <w:p w14:paraId="40B1EB2B" w14:textId="77777777" w:rsidR="002F5BDB" w:rsidRPr="00584D9B" w:rsidRDefault="002F5BDB" w:rsidP="002F5BDB">
      <w:pPr>
        <w:pStyle w:val="REG-Pa"/>
        <w:rPr>
          <w:lang w:val="en-ZA"/>
        </w:rPr>
      </w:pPr>
    </w:p>
    <w:p w14:paraId="002BA03D" w14:textId="42601369" w:rsidR="00584D9B" w:rsidRPr="00584D9B" w:rsidRDefault="00584D9B" w:rsidP="002F5BDB">
      <w:pPr>
        <w:pStyle w:val="REG-Pa"/>
        <w:rPr>
          <w:lang w:val="en-ZA"/>
        </w:rPr>
      </w:pPr>
      <w:r w:rsidRPr="00584D9B">
        <w:rPr>
          <w:lang w:val="en-ZA"/>
        </w:rPr>
        <w:t xml:space="preserve">(d) </w:t>
      </w:r>
      <w:r w:rsidR="002F5BDB">
        <w:rPr>
          <w:lang w:val="en-ZA"/>
        </w:rPr>
        <w:tab/>
      </w:r>
      <w:r w:rsidRPr="00584D9B">
        <w:rPr>
          <w:lang w:val="en-ZA"/>
        </w:rPr>
        <w:t>“CF” is an acronym for coverage factor, which indicates the extent to which access</w:t>
      </w:r>
      <w:r w:rsidR="002F5BDB">
        <w:rPr>
          <w:lang w:val="en-ZA"/>
        </w:rPr>
        <w:t xml:space="preserve"> </w:t>
      </w:r>
      <w:r w:rsidRPr="00584D9B">
        <w:rPr>
          <w:lang w:val="en-ZA"/>
        </w:rPr>
        <w:t>to the radio frequency spectrum assigned to a licensee under a spectrum license is</w:t>
      </w:r>
      <w:r w:rsidR="002F5BDB">
        <w:rPr>
          <w:lang w:val="en-ZA"/>
        </w:rPr>
        <w:t xml:space="preserve"> </w:t>
      </w:r>
      <w:r w:rsidRPr="00584D9B">
        <w:rPr>
          <w:lang w:val="en-ZA"/>
        </w:rPr>
        <w:t>denied to other licensees;</w:t>
      </w:r>
    </w:p>
    <w:p w14:paraId="79194EB3" w14:textId="77777777" w:rsidR="002F5BDB" w:rsidRDefault="002F5BDB" w:rsidP="002F5BDB">
      <w:pPr>
        <w:pStyle w:val="REG-Pa"/>
        <w:rPr>
          <w:lang w:val="en-ZA"/>
        </w:rPr>
      </w:pPr>
    </w:p>
    <w:p w14:paraId="183F4E9F" w14:textId="0DF7DE56" w:rsidR="00584D9B" w:rsidRDefault="00584D9B" w:rsidP="002F5BDB">
      <w:pPr>
        <w:pStyle w:val="REG-Pa"/>
        <w:rPr>
          <w:lang w:val="en-ZA"/>
        </w:rPr>
      </w:pPr>
      <w:r w:rsidRPr="00584D9B">
        <w:rPr>
          <w:lang w:val="en-ZA"/>
        </w:rPr>
        <w:t xml:space="preserve">(e) </w:t>
      </w:r>
      <w:r w:rsidR="002F5BDB">
        <w:rPr>
          <w:lang w:val="en-ZA"/>
        </w:rPr>
        <w:tab/>
      </w:r>
      <w:r w:rsidRPr="00584D9B">
        <w:rPr>
          <w:lang w:val="en-ZA"/>
        </w:rPr>
        <w:t>“FBF” is an acronym for Frequency Band Factor, which sets out the spectrum fee for</w:t>
      </w:r>
      <w:r w:rsidR="002F5BDB">
        <w:rPr>
          <w:lang w:val="en-ZA"/>
        </w:rPr>
        <w:t xml:space="preserve"> </w:t>
      </w:r>
      <w:r w:rsidRPr="00584D9B">
        <w:rPr>
          <w:lang w:val="en-ZA"/>
        </w:rPr>
        <w:t>1 MHz of similar usage in different spectrum bands as contained in the Frequency</w:t>
      </w:r>
      <w:r w:rsidR="002F5BDB">
        <w:rPr>
          <w:lang w:val="en-ZA"/>
        </w:rPr>
        <w:t xml:space="preserve"> </w:t>
      </w:r>
      <w:r w:rsidRPr="00584D9B">
        <w:rPr>
          <w:lang w:val="en-ZA"/>
        </w:rPr>
        <w:t>Band Plan specified in Tables 2 and 3;</w:t>
      </w:r>
    </w:p>
    <w:p w14:paraId="6785954F" w14:textId="77777777" w:rsidR="002F5BDB" w:rsidRPr="00584D9B" w:rsidRDefault="002F5BDB" w:rsidP="002F5BDB">
      <w:pPr>
        <w:pStyle w:val="REG-Pa"/>
        <w:rPr>
          <w:lang w:val="en-ZA"/>
        </w:rPr>
      </w:pPr>
    </w:p>
    <w:p w14:paraId="47CF5798" w14:textId="29376D33" w:rsidR="00584D9B" w:rsidRPr="00584D9B" w:rsidRDefault="00584D9B" w:rsidP="002F5BDB">
      <w:pPr>
        <w:pStyle w:val="REG-Pa"/>
        <w:rPr>
          <w:lang w:val="en-ZA"/>
        </w:rPr>
      </w:pPr>
      <w:r w:rsidRPr="00584D9B">
        <w:rPr>
          <w:lang w:val="en-ZA"/>
        </w:rPr>
        <w:t xml:space="preserve">(f) </w:t>
      </w:r>
      <w:r w:rsidR="002F5BDB">
        <w:rPr>
          <w:lang w:val="en-ZA"/>
        </w:rPr>
        <w:tab/>
      </w:r>
      <w:r w:rsidRPr="00584D9B">
        <w:rPr>
          <w:lang w:val="en-ZA"/>
        </w:rPr>
        <w:t>“GEOF” is an acronym for geographical factor, which indicates whether radio</w:t>
      </w:r>
      <w:r w:rsidR="002F5BDB">
        <w:rPr>
          <w:lang w:val="en-ZA"/>
        </w:rPr>
        <w:t xml:space="preserve"> </w:t>
      </w:r>
      <w:r w:rsidRPr="00584D9B">
        <w:rPr>
          <w:lang w:val="en-ZA"/>
        </w:rPr>
        <w:t>frequency spectrum is assigned for use in an urban or non-urban area, or assigned</w:t>
      </w:r>
      <w:r w:rsidR="002F5BDB">
        <w:rPr>
          <w:lang w:val="en-ZA"/>
        </w:rPr>
        <w:t xml:space="preserve"> </w:t>
      </w:r>
      <w:r w:rsidRPr="00584D9B">
        <w:rPr>
          <w:lang w:val="en-ZA"/>
        </w:rPr>
        <w:t>for an area that comprises both types of area;</w:t>
      </w:r>
    </w:p>
    <w:p w14:paraId="786031B7" w14:textId="5E54CEDA" w:rsidR="00584D9B" w:rsidRPr="00584D9B" w:rsidRDefault="00584D9B" w:rsidP="002F5BDB">
      <w:pPr>
        <w:pStyle w:val="REG-Pa"/>
        <w:rPr>
          <w:lang w:val="en-ZA"/>
        </w:rPr>
      </w:pPr>
    </w:p>
    <w:p w14:paraId="4C33E3E9" w14:textId="5926A318" w:rsidR="00584D9B" w:rsidRDefault="00584D9B" w:rsidP="002F5BDB">
      <w:pPr>
        <w:pStyle w:val="REG-Pa"/>
        <w:rPr>
          <w:lang w:val="en-ZA"/>
        </w:rPr>
      </w:pPr>
      <w:r w:rsidRPr="00584D9B">
        <w:rPr>
          <w:lang w:val="en-ZA"/>
        </w:rPr>
        <w:t xml:space="preserve">(g) </w:t>
      </w:r>
      <w:r w:rsidR="002F5BDB">
        <w:rPr>
          <w:lang w:val="en-ZA"/>
        </w:rPr>
        <w:tab/>
      </w:r>
      <w:r w:rsidRPr="00584D9B">
        <w:rPr>
          <w:lang w:val="en-ZA"/>
        </w:rPr>
        <w:t>“SHRF” is an acronym for sharing factor, which indicates whether radio frequency</w:t>
      </w:r>
      <w:r w:rsidR="002F5BDB">
        <w:rPr>
          <w:lang w:val="en-ZA"/>
        </w:rPr>
        <w:t xml:space="preserve"> </w:t>
      </w:r>
      <w:r w:rsidRPr="00584D9B">
        <w:rPr>
          <w:lang w:val="en-ZA"/>
        </w:rPr>
        <w:t>spectrum is assigned exclusively of whether it is shared with another licensee or</w:t>
      </w:r>
      <w:r w:rsidR="002F5BDB">
        <w:rPr>
          <w:lang w:val="en-ZA"/>
        </w:rPr>
        <w:t xml:space="preserve"> </w:t>
      </w:r>
      <w:r w:rsidRPr="00584D9B">
        <w:rPr>
          <w:lang w:val="en-ZA"/>
        </w:rPr>
        <w:t>service as allocated in the Frequency Band Plan; and</w:t>
      </w:r>
    </w:p>
    <w:p w14:paraId="3A4BB88B" w14:textId="77777777" w:rsidR="002F5BDB" w:rsidRPr="00584D9B" w:rsidRDefault="002F5BDB" w:rsidP="002F5BDB">
      <w:pPr>
        <w:pStyle w:val="REG-Pa"/>
        <w:rPr>
          <w:lang w:val="en-ZA"/>
        </w:rPr>
      </w:pPr>
    </w:p>
    <w:p w14:paraId="7DBB4705" w14:textId="350192E8" w:rsidR="00584D9B" w:rsidRDefault="00584D9B" w:rsidP="002F5BDB">
      <w:pPr>
        <w:pStyle w:val="REG-Pa"/>
        <w:rPr>
          <w:lang w:val="en-ZA"/>
        </w:rPr>
      </w:pPr>
      <w:r w:rsidRPr="00584D9B">
        <w:rPr>
          <w:lang w:val="en-ZA"/>
        </w:rPr>
        <w:t xml:space="preserve">(h) </w:t>
      </w:r>
      <w:r w:rsidR="002F5BDB">
        <w:rPr>
          <w:lang w:val="en-ZA"/>
        </w:rPr>
        <w:tab/>
      </w:r>
      <w:r w:rsidRPr="00584D9B">
        <w:rPr>
          <w:lang w:val="en-ZA"/>
        </w:rPr>
        <w:t>“TF” is an acronym for the time factor, consisting of a period of 12 months.</w:t>
      </w:r>
    </w:p>
    <w:p w14:paraId="186D8EF2" w14:textId="77777777" w:rsidR="002F5BDB" w:rsidRPr="00584D9B" w:rsidRDefault="002F5BDB" w:rsidP="002F5BDB">
      <w:pPr>
        <w:pStyle w:val="REG-Pa"/>
        <w:rPr>
          <w:lang w:val="en-ZA"/>
        </w:rPr>
      </w:pPr>
    </w:p>
    <w:p w14:paraId="646A843F" w14:textId="507985E7" w:rsidR="00584D9B" w:rsidRPr="00584D9B" w:rsidRDefault="00584D9B" w:rsidP="002F5BDB">
      <w:pPr>
        <w:pStyle w:val="REG-P1"/>
        <w:rPr>
          <w:lang w:val="en-ZA"/>
        </w:rPr>
      </w:pPr>
      <w:r w:rsidRPr="00584D9B">
        <w:rPr>
          <w:lang w:val="en-ZA"/>
        </w:rPr>
        <w:t xml:space="preserve">(2) </w:t>
      </w:r>
      <w:r w:rsidR="002F5BDB">
        <w:rPr>
          <w:lang w:val="en-ZA"/>
        </w:rPr>
        <w:tab/>
      </w:r>
      <w:r w:rsidRPr="00584D9B">
        <w:rPr>
          <w:lang w:val="en-ZA"/>
        </w:rPr>
        <w:t>Subject to subregulation (3), in respect of spectrum licences for which a flat fee</w:t>
      </w:r>
      <w:r w:rsidR="002F5BDB">
        <w:rPr>
          <w:lang w:val="en-ZA"/>
        </w:rPr>
        <w:t xml:space="preserve"> </w:t>
      </w:r>
      <w:r w:rsidRPr="00584D9B">
        <w:rPr>
          <w:lang w:val="en-ZA"/>
        </w:rPr>
        <w:t>set out in regulation 4 is not payable, an annual fee must be paid calculated in accordance with the</w:t>
      </w:r>
      <w:r w:rsidR="002F5BDB">
        <w:rPr>
          <w:lang w:val="en-ZA"/>
        </w:rPr>
        <w:t xml:space="preserve"> </w:t>
      </w:r>
      <w:r w:rsidRPr="00584D9B">
        <w:rPr>
          <w:lang w:val="en-ZA"/>
        </w:rPr>
        <w:t>following formulas:</w:t>
      </w:r>
    </w:p>
    <w:p w14:paraId="2755F23F" w14:textId="77777777" w:rsidR="002F5BDB" w:rsidRDefault="002F5BDB" w:rsidP="00584D9B">
      <w:pPr>
        <w:pStyle w:val="REG-P0"/>
        <w:rPr>
          <w:lang w:val="en-ZA"/>
        </w:rPr>
      </w:pPr>
    </w:p>
    <w:p w14:paraId="656051E8" w14:textId="60DE6FD8" w:rsidR="00584D9B" w:rsidRPr="00584D9B" w:rsidRDefault="00584D9B" w:rsidP="002F5BDB">
      <w:pPr>
        <w:pStyle w:val="REG-Pa"/>
        <w:rPr>
          <w:lang w:val="en-ZA"/>
        </w:rPr>
      </w:pPr>
      <w:r w:rsidRPr="00584D9B">
        <w:rPr>
          <w:lang w:val="en-ZA"/>
        </w:rPr>
        <w:t xml:space="preserve">(a) </w:t>
      </w:r>
      <w:r w:rsidR="002F5BDB">
        <w:rPr>
          <w:lang w:val="en-ZA"/>
        </w:rPr>
        <w:tab/>
      </w:r>
      <w:r w:rsidRPr="00584D9B">
        <w:rPr>
          <w:lang w:val="en-ZA"/>
        </w:rPr>
        <w:t>for mobile services and fixed services:</w:t>
      </w:r>
    </w:p>
    <w:p w14:paraId="3B331623" w14:textId="25065D89" w:rsidR="00584D9B" w:rsidRPr="00584D9B" w:rsidRDefault="00584D9B" w:rsidP="00915936">
      <w:pPr>
        <w:pStyle w:val="REG-P0"/>
        <w:ind w:left="1134"/>
        <w:rPr>
          <w:lang w:val="en-ZA"/>
        </w:rPr>
      </w:pPr>
      <w:r w:rsidRPr="00584D9B">
        <w:rPr>
          <w:i/>
          <w:iCs/>
          <w:lang w:val="en-ZA"/>
        </w:rPr>
        <w:t>annual spectrum fee = BWF x FBF x CF x SHRF x GEOF x BV</w:t>
      </w:r>
      <w:r w:rsidRPr="00584D9B">
        <w:rPr>
          <w:lang w:val="en-ZA"/>
        </w:rPr>
        <w:t>; and</w:t>
      </w:r>
    </w:p>
    <w:p w14:paraId="33E79248" w14:textId="77777777" w:rsidR="002F5BDB" w:rsidRDefault="002F5BDB" w:rsidP="00584D9B">
      <w:pPr>
        <w:pStyle w:val="REG-P0"/>
        <w:rPr>
          <w:lang w:val="en-ZA"/>
        </w:rPr>
      </w:pPr>
    </w:p>
    <w:p w14:paraId="31E502ED" w14:textId="5ED67ED5" w:rsidR="00584D9B" w:rsidRDefault="00584D9B" w:rsidP="002F5BDB">
      <w:pPr>
        <w:pStyle w:val="REG-Pa"/>
        <w:rPr>
          <w:lang w:val="en-ZA"/>
        </w:rPr>
      </w:pPr>
      <w:r w:rsidRPr="00584D9B">
        <w:rPr>
          <w:lang w:val="en-ZA"/>
        </w:rPr>
        <w:t xml:space="preserve">(b) </w:t>
      </w:r>
      <w:r w:rsidR="002F5BDB">
        <w:rPr>
          <w:lang w:val="en-ZA"/>
        </w:rPr>
        <w:tab/>
      </w:r>
      <w:r w:rsidRPr="00584D9B">
        <w:rPr>
          <w:lang w:val="en-ZA"/>
        </w:rPr>
        <w:t>for fixed and mobile satellite services:</w:t>
      </w:r>
    </w:p>
    <w:p w14:paraId="39ADF924" w14:textId="49F81AD7" w:rsidR="00584D9B" w:rsidRPr="00584D9B" w:rsidRDefault="00915936" w:rsidP="00915936">
      <w:pPr>
        <w:pStyle w:val="REG-P0"/>
        <w:ind w:left="1134"/>
        <w:rPr>
          <w:lang w:val="en-ZA"/>
        </w:rPr>
      </w:pPr>
      <w:r w:rsidRPr="00915936">
        <w:rPr>
          <w:i/>
          <w:iCs/>
        </w:rPr>
        <w:t>annual spectrum fee = BWF x FBF x CF x SHRF x GEOF x BV</w:t>
      </w:r>
    </w:p>
    <w:p w14:paraId="6E9B352E" w14:textId="2CB28EA3" w:rsidR="002F5BDB" w:rsidRDefault="002F5BDB" w:rsidP="002F5BDB">
      <w:pPr>
        <w:pStyle w:val="REG-P1"/>
        <w:rPr>
          <w:lang w:val="en-ZA"/>
        </w:rPr>
      </w:pPr>
    </w:p>
    <w:p w14:paraId="6E722A81" w14:textId="51D45576" w:rsidR="00915936" w:rsidRDefault="00915936" w:rsidP="00915936">
      <w:pPr>
        <w:pStyle w:val="REG-Amend"/>
      </w:pPr>
      <w:r>
        <w:t>[Paragraph (b) is substituted by General Notice 738/2023.]</w:t>
      </w:r>
    </w:p>
    <w:p w14:paraId="5916D4BC" w14:textId="77777777" w:rsidR="00915936" w:rsidRDefault="00915936" w:rsidP="002F5BDB">
      <w:pPr>
        <w:pStyle w:val="REG-P1"/>
        <w:rPr>
          <w:lang w:val="en-ZA"/>
        </w:rPr>
      </w:pPr>
    </w:p>
    <w:p w14:paraId="56A5DF33" w14:textId="12A55A75" w:rsidR="00584D9B" w:rsidRDefault="00584D9B" w:rsidP="002F5BDB">
      <w:pPr>
        <w:pStyle w:val="REG-P1"/>
        <w:rPr>
          <w:lang w:val="en-ZA"/>
        </w:rPr>
      </w:pPr>
      <w:r w:rsidRPr="00584D9B">
        <w:rPr>
          <w:lang w:val="en-ZA"/>
        </w:rPr>
        <w:t xml:space="preserve">(3) </w:t>
      </w:r>
      <w:r w:rsidR="002F5BDB">
        <w:rPr>
          <w:lang w:val="en-ZA"/>
        </w:rPr>
        <w:tab/>
      </w:r>
      <w:r w:rsidRPr="00584D9B">
        <w:rPr>
          <w:lang w:val="en-ZA"/>
        </w:rPr>
        <w:t>Notwithstanding subregulation (1), spectrum licenses awarded by means of spectrum</w:t>
      </w:r>
      <w:r w:rsidR="002F5BDB">
        <w:rPr>
          <w:lang w:val="en-ZA"/>
        </w:rPr>
        <w:t xml:space="preserve"> </w:t>
      </w:r>
      <w:r w:rsidRPr="00584D9B">
        <w:rPr>
          <w:lang w:val="en-ZA"/>
        </w:rPr>
        <w:t>auctions in accordance with Part 3 of the Regulations Pertaining to Spectrum Licenses are not subject</w:t>
      </w:r>
      <w:r w:rsidR="002F5BDB">
        <w:rPr>
          <w:lang w:val="en-ZA"/>
        </w:rPr>
        <w:t xml:space="preserve"> </w:t>
      </w:r>
      <w:r w:rsidRPr="00584D9B">
        <w:rPr>
          <w:lang w:val="en-ZA"/>
        </w:rPr>
        <w:t>to the annual fee contemplated in that subregulation, provided that if any spectrum license awarded</w:t>
      </w:r>
      <w:r w:rsidR="002F5BDB">
        <w:rPr>
          <w:lang w:val="en-ZA"/>
        </w:rPr>
        <w:t xml:space="preserve"> </w:t>
      </w:r>
      <w:r w:rsidRPr="00584D9B">
        <w:rPr>
          <w:lang w:val="en-ZA"/>
        </w:rPr>
        <w:t>in accordance with the aforesaid Part 3 lapses or is not renewed, and is consequently awarded in</w:t>
      </w:r>
      <w:r w:rsidR="002F5BDB">
        <w:rPr>
          <w:lang w:val="en-ZA"/>
        </w:rPr>
        <w:t xml:space="preserve"> </w:t>
      </w:r>
      <w:r w:rsidRPr="00584D9B">
        <w:rPr>
          <w:lang w:val="en-ZA"/>
        </w:rPr>
        <w:t>a manner other than by a spectrum auction, those annual fees apply to the licensee to whom such</w:t>
      </w:r>
      <w:r w:rsidR="002F5BDB">
        <w:rPr>
          <w:lang w:val="en-ZA"/>
        </w:rPr>
        <w:t xml:space="preserve"> </w:t>
      </w:r>
      <w:r w:rsidRPr="00584D9B">
        <w:rPr>
          <w:lang w:val="en-ZA"/>
        </w:rPr>
        <w:t>license is awarded.</w:t>
      </w:r>
    </w:p>
    <w:p w14:paraId="6C8BF2EC" w14:textId="77777777" w:rsidR="002F5BDB" w:rsidRPr="00584D9B" w:rsidRDefault="002F5BDB" w:rsidP="002F5BDB">
      <w:pPr>
        <w:pStyle w:val="REG-P1"/>
        <w:rPr>
          <w:lang w:val="en-ZA"/>
        </w:rPr>
      </w:pPr>
    </w:p>
    <w:p w14:paraId="61854083" w14:textId="2049DCAC" w:rsidR="00584D9B" w:rsidRDefault="00584D9B" w:rsidP="002F5BDB">
      <w:pPr>
        <w:pStyle w:val="REG-P1"/>
        <w:rPr>
          <w:lang w:val="en-ZA"/>
        </w:rPr>
      </w:pPr>
      <w:r w:rsidRPr="00584D9B">
        <w:rPr>
          <w:lang w:val="en-ZA"/>
        </w:rPr>
        <w:t xml:space="preserve">(4) </w:t>
      </w:r>
      <w:r w:rsidR="002F5BDB">
        <w:rPr>
          <w:lang w:val="en-ZA"/>
        </w:rPr>
        <w:tab/>
      </w:r>
      <w:r w:rsidRPr="00584D9B">
        <w:rPr>
          <w:lang w:val="en-ZA"/>
        </w:rPr>
        <w:t>FBF is as set out in Tables 2 and 3 below:</w:t>
      </w:r>
    </w:p>
    <w:p w14:paraId="4454F5BD" w14:textId="77777777" w:rsidR="00346BB9" w:rsidRDefault="00346BB9" w:rsidP="00346BB9">
      <w:pPr>
        <w:autoSpaceDE w:val="0"/>
        <w:autoSpaceDN w:val="0"/>
        <w:adjustRightInd w:val="0"/>
        <w:rPr>
          <w:rFonts w:ascii="TimesNewRomanPS-BoldMT" w:hAnsi="TimesNewRomanPS-BoldMT" w:cs="TimesNewRomanPS-BoldMT"/>
          <w:b/>
          <w:bCs/>
          <w:noProof w:val="0"/>
          <w:lang w:val="en-ZA"/>
        </w:rPr>
      </w:pPr>
    </w:p>
    <w:p w14:paraId="27DF28BE" w14:textId="67410475" w:rsidR="00346BB9" w:rsidRPr="0046422C"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TABLE 2</w:t>
      </w:r>
    </w:p>
    <w:p w14:paraId="372ABE8A" w14:textId="77777777" w:rsidR="00346BB9" w:rsidRPr="0046422C"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FREQUENCY BAND FACTOR (</w:t>
      </w:r>
      <w:proofErr w:type="spellStart"/>
      <w:r w:rsidRPr="0046422C">
        <w:rPr>
          <w:rFonts w:ascii="TimesNewRomanPS-BoldMT" w:hAnsi="TimesNewRomanPS-BoldMT" w:cs="TimesNewRomanPS-BoldMT"/>
          <w:b/>
          <w:bCs/>
          <w:noProof w:val="0"/>
          <w:lang w:val="en-ZA"/>
        </w:rPr>
        <w:t>FBF</w:t>
      </w:r>
      <w:proofErr w:type="spellEnd"/>
      <w:r w:rsidRPr="0046422C">
        <w:rPr>
          <w:rFonts w:ascii="TimesNewRomanPS-BoldMT" w:hAnsi="TimesNewRomanPS-BoldMT" w:cs="TimesNewRomanPS-BoldMT"/>
          <w:b/>
          <w:bCs/>
          <w:noProof w:val="0"/>
          <w:lang w:val="en-ZA"/>
        </w:rPr>
        <w:t>):</w:t>
      </w:r>
    </w:p>
    <w:p w14:paraId="50A4A895" w14:textId="0395CB1E" w:rsidR="00346BB9"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 xml:space="preserve">FIXED SERVICES (INCLUDING POINT-TO-POINT </w:t>
      </w:r>
      <w:r w:rsidRPr="0046422C">
        <w:rPr>
          <w:rFonts w:ascii="TimesNewRomanPS-BoldMT" w:hAnsi="TimesNewRomanPS-BoldMT" w:cs="TimesNewRomanPS-BoldMT"/>
          <w:b/>
          <w:bCs/>
          <w:noProof w:val="0"/>
          <w:lang w:val="en-ZA"/>
        </w:rPr>
        <w:br/>
        <w:t>AND POINT-TO-MULTIPOINT FIXED LINKS)</w:t>
      </w:r>
    </w:p>
    <w:p w14:paraId="534A270B" w14:textId="77777777" w:rsidR="0046422C" w:rsidRDefault="0046422C" w:rsidP="00346BB9">
      <w:pPr>
        <w:autoSpaceDE w:val="0"/>
        <w:autoSpaceDN w:val="0"/>
        <w:adjustRightInd w:val="0"/>
        <w:jc w:val="center"/>
        <w:rPr>
          <w:rFonts w:ascii="TimesNewRomanPS-BoldMT" w:hAnsi="TimesNewRomanPS-BoldMT" w:cs="TimesNewRomanPS-BoldMT"/>
          <w:b/>
          <w:bCs/>
          <w:noProof w:val="0"/>
          <w:lang w:val="en-ZA"/>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3"/>
        <w:gridCol w:w="2923"/>
        <w:gridCol w:w="2801"/>
      </w:tblGrid>
      <w:tr w:rsidR="0046422C" w:rsidRPr="0046422C" w14:paraId="6A968130" w14:textId="77777777" w:rsidTr="00196122">
        <w:trPr>
          <w:trHeight w:val="288"/>
        </w:trPr>
        <w:tc>
          <w:tcPr>
            <w:tcW w:w="5846" w:type="dxa"/>
            <w:gridSpan w:val="2"/>
          </w:tcPr>
          <w:p w14:paraId="7BDB8944" w14:textId="77777777" w:rsidR="0046422C" w:rsidRPr="0046422C" w:rsidRDefault="0046422C" w:rsidP="00B949DA">
            <w:pPr>
              <w:pStyle w:val="TableParagraph"/>
              <w:spacing w:before="27"/>
              <w:ind w:left="2200" w:right="2190"/>
              <w:jc w:val="center"/>
              <w:rPr>
                <w:rFonts w:cs="Times New Roman"/>
                <w:sz w:val="20"/>
                <w:szCs w:val="20"/>
              </w:rPr>
            </w:pPr>
            <w:r w:rsidRPr="0046422C">
              <w:rPr>
                <w:rFonts w:cs="Times New Roman"/>
                <w:sz w:val="20"/>
                <w:szCs w:val="20"/>
              </w:rPr>
              <w:t>Frequency Range</w:t>
            </w:r>
          </w:p>
        </w:tc>
        <w:tc>
          <w:tcPr>
            <w:tcW w:w="2801" w:type="dxa"/>
            <w:vMerge w:val="restart"/>
          </w:tcPr>
          <w:p w14:paraId="302DDD7B" w14:textId="77777777" w:rsidR="0046422C" w:rsidRPr="0046422C" w:rsidRDefault="0046422C" w:rsidP="00B949DA">
            <w:pPr>
              <w:pStyle w:val="TableParagraph"/>
              <w:spacing w:before="176"/>
              <w:ind w:left="1224" w:right="1162"/>
              <w:jc w:val="center"/>
              <w:rPr>
                <w:rFonts w:cs="Times New Roman"/>
                <w:sz w:val="20"/>
                <w:szCs w:val="20"/>
              </w:rPr>
            </w:pPr>
            <w:r w:rsidRPr="0046422C">
              <w:rPr>
                <w:rFonts w:cs="Times New Roman"/>
                <w:sz w:val="20"/>
                <w:szCs w:val="20"/>
              </w:rPr>
              <w:t>FBF</w:t>
            </w:r>
          </w:p>
        </w:tc>
      </w:tr>
      <w:tr w:rsidR="0046422C" w:rsidRPr="0046422C" w14:paraId="1896A0A8" w14:textId="77777777" w:rsidTr="00196122">
        <w:trPr>
          <w:trHeight w:val="288"/>
        </w:trPr>
        <w:tc>
          <w:tcPr>
            <w:tcW w:w="2923" w:type="dxa"/>
          </w:tcPr>
          <w:p w14:paraId="2AE6EF8C" w14:textId="77777777" w:rsidR="0046422C" w:rsidRPr="0046422C" w:rsidRDefault="0046422C" w:rsidP="00B949DA">
            <w:pPr>
              <w:pStyle w:val="TableParagraph"/>
              <w:spacing w:before="27"/>
              <w:ind w:left="1224" w:right="1214"/>
              <w:jc w:val="center"/>
              <w:rPr>
                <w:rFonts w:cs="Times New Roman"/>
                <w:sz w:val="20"/>
                <w:szCs w:val="20"/>
              </w:rPr>
            </w:pPr>
            <w:r w:rsidRPr="0046422C">
              <w:rPr>
                <w:rFonts w:cs="Times New Roman"/>
                <w:sz w:val="20"/>
                <w:szCs w:val="20"/>
              </w:rPr>
              <w:t>From</w:t>
            </w:r>
          </w:p>
        </w:tc>
        <w:tc>
          <w:tcPr>
            <w:tcW w:w="2923" w:type="dxa"/>
          </w:tcPr>
          <w:p w14:paraId="788090EB" w14:textId="77777777" w:rsidR="0046422C" w:rsidRPr="0046422C" w:rsidRDefault="0046422C" w:rsidP="00B949DA">
            <w:pPr>
              <w:pStyle w:val="TableParagraph"/>
              <w:spacing w:before="27"/>
              <w:ind w:left="1214" w:right="1214"/>
              <w:jc w:val="center"/>
              <w:rPr>
                <w:rFonts w:cs="Times New Roman"/>
                <w:sz w:val="20"/>
                <w:szCs w:val="20"/>
              </w:rPr>
            </w:pPr>
            <w:r w:rsidRPr="0046422C">
              <w:rPr>
                <w:rFonts w:cs="Times New Roman"/>
                <w:sz w:val="20"/>
                <w:szCs w:val="20"/>
              </w:rPr>
              <w:t>To</w:t>
            </w:r>
          </w:p>
        </w:tc>
        <w:tc>
          <w:tcPr>
            <w:tcW w:w="2801" w:type="dxa"/>
            <w:vMerge/>
            <w:tcBorders>
              <w:top w:val="nil"/>
            </w:tcBorders>
          </w:tcPr>
          <w:p w14:paraId="77447703" w14:textId="77777777" w:rsidR="0046422C" w:rsidRPr="0046422C" w:rsidRDefault="0046422C" w:rsidP="00B949DA">
            <w:pPr>
              <w:rPr>
                <w:rFonts w:cs="Times New Roman"/>
                <w:sz w:val="20"/>
                <w:szCs w:val="20"/>
              </w:rPr>
            </w:pPr>
          </w:p>
        </w:tc>
      </w:tr>
      <w:tr w:rsidR="0046422C" w:rsidRPr="0046422C" w14:paraId="174BFA0D" w14:textId="77777777" w:rsidTr="00196122">
        <w:trPr>
          <w:trHeight w:val="288"/>
        </w:trPr>
        <w:tc>
          <w:tcPr>
            <w:tcW w:w="2923" w:type="dxa"/>
          </w:tcPr>
          <w:p w14:paraId="659E1C87"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0 MHz</w:t>
            </w:r>
          </w:p>
        </w:tc>
        <w:tc>
          <w:tcPr>
            <w:tcW w:w="2923" w:type="dxa"/>
          </w:tcPr>
          <w:p w14:paraId="7DB95C87"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1350 MHz</w:t>
            </w:r>
          </w:p>
        </w:tc>
        <w:tc>
          <w:tcPr>
            <w:tcW w:w="2801" w:type="dxa"/>
          </w:tcPr>
          <w:p w14:paraId="4B1FA00D" w14:textId="77777777" w:rsidR="0046422C" w:rsidRPr="0046422C" w:rsidRDefault="0046422C" w:rsidP="00B949DA">
            <w:pPr>
              <w:pStyle w:val="TableParagraph"/>
              <w:spacing w:before="27"/>
              <w:ind w:left="1224" w:right="1212"/>
              <w:jc w:val="center"/>
              <w:rPr>
                <w:rFonts w:cs="Times New Roman"/>
                <w:sz w:val="20"/>
                <w:szCs w:val="20"/>
              </w:rPr>
            </w:pPr>
            <w:r w:rsidRPr="0046422C">
              <w:rPr>
                <w:rFonts w:cs="Times New Roman"/>
                <w:sz w:val="20"/>
                <w:szCs w:val="20"/>
              </w:rPr>
              <w:t>0.5</w:t>
            </w:r>
          </w:p>
        </w:tc>
      </w:tr>
      <w:tr w:rsidR="0046422C" w:rsidRPr="0046422C" w14:paraId="3495CEAE" w14:textId="77777777" w:rsidTr="00196122">
        <w:trPr>
          <w:trHeight w:val="288"/>
        </w:trPr>
        <w:tc>
          <w:tcPr>
            <w:tcW w:w="2923" w:type="dxa"/>
          </w:tcPr>
          <w:p w14:paraId="58C48AB4"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1350 MHz</w:t>
            </w:r>
          </w:p>
        </w:tc>
        <w:tc>
          <w:tcPr>
            <w:tcW w:w="2923" w:type="dxa"/>
          </w:tcPr>
          <w:p w14:paraId="070A0E42"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1427 MHz</w:t>
            </w:r>
          </w:p>
        </w:tc>
        <w:tc>
          <w:tcPr>
            <w:tcW w:w="2801" w:type="dxa"/>
          </w:tcPr>
          <w:p w14:paraId="27D1BEEA" w14:textId="77777777" w:rsidR="0046422C" w:rsidRPr="0046422C" w:rsidRDefault="0046422C" w:rsidP="00B949DA">
            <w:pPr>
              <w:pStyle w:val="TableParagraph"/>
              <w:spacing w:before="27"/>
              <w:ind w:left="1224" w:right="1212"/>
              <w:jc w:val="center"/>
              <w:rPr>
                <w:rFonts w:cs="Times New Roman"/>
                <w:sz w:val="20"/>
                <w:szCs w:val="20"/>
              </w:rPr>
            </w:pPr>
            <w:r w:rsidRPr="0046422C">
              <w:rPr>
                <w:rFonts w:cs="Times New Roman"/>
                <w:sz w:val="20"/>
                <w:szCs w:val="20"/>
              </w:rPr>
              <w:t>0.75</w:t>
            </w:r>
          </w:p>
        </w:tc>
      </w:tr>
      <w:tr w:rsidR="0046422C" w:rsidRPr="0046422C" w14:paraId="73C87E77" w14:textId="77777777" w:rsidTr="00196122">
        <w:trPr>
          <w:trHeight w:val="288"/>
        </w:trPr>
        <w:tc>
          <w:tcPr>
            <w:tcW w:w="2923" w:type="dxa"/>
          </w:tcPr>
          <w:p w14:paraId="7226C179"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1427 MHz</w:t>
            </w:r>
          </w:p>
        </w:tc>
        <w:tc>
          <w:tcPr>
            <w:tcW w:w="2923" w:type="dxa"/>
          </w:tcPr>
          <w:p w14:paraId="53D93E1C" w14:textId="77777777" w:rsidR="0046422C" w:rsidRPr="0046422C" w:rsidRDefault="0046422C" w:rsidP="00B949DA">
            <w:pPr>
              <w:pStyle w:val="TableParagraph"/>
              <w:spacing w:before="27"/>
              <w:rPr>
                <w:rFonts w:cs="Times New Roman"/>
                <w:sz w:val="20"/>
                <w:szCs w:val="20"/>
              </w:rPr>
            </w:pPr>
            <w:r w:rsidRPr="0046422C">
              <w:rPr>
                <w:rFonts w:cs="Times New Roman"/>
                <w:sz w:val="20"/>
                <w:szCs w:val="20"/>
              </w:rPr>
              <w:t>1675 MHz</w:t>
            </w:r>
          </w:p>
        </w:tc>
        <w:tc>
          <w:tcPr>
            <w:tcW w:w="2801" w:type="dxa"/>
          </w:tcPr>
          <w:p w14:paraId="50309B74" w14:textId="77777777" w:rsidR="0046422C" w:rsidRPr="0046422C" w:rsidRDefault="0046422C" w:rsidP="00B949DA">
            <w:pPr>
              <w:pStyle w:val="TableParagraph"/>
              <w:spacing w:before="27"/>
              <w:ind w:left="1224" w:right="1212"/>
              <w:jc w:val="center"/>
              <w:rPr>
                <w:rFonts w:cs="Times New Roman"/>
                <w:sz w:val="20"/>
                <w:szCs w:val="20"/>
              </w:rPr>
            </w:pPr>
            <w:r w:rsidRPr="0046422C">
              <w:rPr>
                <w:rFonts w:cs="Times New Roman"/>
                <w:sz w:val="20"/>
                <w:szCs w:val="20"/>
              </w:rPr>
              <w:t>1.5</w:t>
            </w:r>
          </w:p>
        </w:tc>
      </w:tr>
      <w:tr w:rsidR="0046422C" w:rsidRPr="0046422C" w14:paraId="57358DD4" w14:textId="77777777" w:rsidTr="00196122">
        <w:trPr>
          <w:trHeight w:val="288"/>
        </w:trPr>
        <w:tc>
          <w:tcPr>
            <w:tcW w:w="2923" w:type="dxa"/>
          </w:tcPr>
          <w:p w14:paraId="6DA88673"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1785 MHz</w:t>
            </w:r>
          </w:p>
        </w:tc>
        <w:tc>
          <w:tcPr>
            <w:tcW w:w="2923" w:type="dxa"/>
          </w:tcPr>
          <w:p w14:paraId="753AE748"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1805 MHz</w:t>
            </w:r>
          </w:p>
        </w:tc>
        <w:tc>
          <w:tcPr>
            <w:tcW w:w="2801" w:type="dxa"/>
          </w:tcPr>
          <w:p w14:paraId="6FC79895"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137F36AE" w14:textId="77777777" w:rsidTr="00196122">
        <w:trPr>
          <w:trHeight w:val="288"/>
        </w:trPr>
        <w:tc>
          <w:tcPr>
            <w:tcW w:w="2923" w:type="dxa"/>
          </w:tcPr>
          <w:p w14:paraId="3C8EE80A"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2023 MHz</w:t>
            </w:r>
          </w:p>
        </w:tc>
        <w:tc>
          <w:tcPr>
            <w:tcW w:w="2923" w:type="dxa"/>
          </w:tcPr>
          <w:p w14:paraId="5168A24C"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2300 MHz</w:t>
            </w:r>
          </w:p>
        </w:tc>
        <w:tc>
          <w:tcPr>
            <w:tcW w:w="2801" w:type="dxa"/>
          </w:tcPr>
          <w:p w14:paraId="36270F35"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3BFE5EC3" w14:textId="77777777" w:rsidTr="00196122">
        <w:trPr>
          <w:trHeight w:val="288"/>
        </w:trPr>
        <w:tc>
          <w:tcPr>
            <w:tcW w:w="2923" w:type="dxa"/>
          </w:tcPr>
          <w:p w14:paraId="12615D32"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2300 MHz</w:t>
            </w:r>
          </w:p>
        </w:tc>
        <w:tc>
          <w:tcPr>
            <w:tcW w:w="2923" w:type="dxa"/>
          </w:tcPr>
          <w:p w14:paraId="3C41128B"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2400 MHz</w:t>
            </w:r>
          </w:p>
        </w:tc>
        <w:tc>
          <w:tcPr>
            <w:tcW w:w="2801" w:type="dxa"/>
          </w:tcPr>
          <w:p w14:paraId="27712DFF"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1FE03389" w14:textId="77777777" w:rsidTr="00196122">
        <w:trPr>
          <w:trHeight w:val="288"/>
        </w:trPr>
        <w:tc>
          <w:tcPr>
            <w:tcW w:w="2923" w:type="dxa"/>
          </w:tcPr>
          <w:p w14:paraId="2886317D"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2483.5 MHz</w:t>
            </w:r>
          </w:p>
        </w:tc>
        <w:tc>
          <w:tcPr>
            <w:tcW w:w="2923" w:type="dxa"/>
          </w:tcPr>
          <w:p w14:paraId="3F25494C"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2500 MHz</w:t>
            </w:r>
          </w:p>
        </w:tc>
        <w:tc>
          <w:tcPr>
            <w:tcW w:w="2801" w:type="dxa"/>
          </w:tcPr>
          <w:p w14:paraId="1479CDFE"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278FAD10" w14:textId="77777777" w:rsidTr="00196122">
        <w:trPr>
          <w:trHeight w:val="288"/>
        </w:trPr>
        <w:tc>
          <w:tcPr>
            <w:tcW w:w="2923" w:type="dxa"/>
          </w:tcPr>
          <w:p w14:paraId="7725D353"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2500 MHz</w:t>
            </w:r>
          </w:p>
        </w:tc>
        <w:tc>
          <w:tcPr>
            <w:tcW w:w="2923" w:type="dxa"/>
          </w:tcPr>
          <w:p w14:paraId="01291F14"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2690 MHz</w:t>
            </w:r>
          </w:p>
        </w:tc>
        <w:tc>
          <w:tcPr>
            <w:tcW w:w="2801" w:type="dxa"/>
          </w:tcPr>
          <w:p w14:paraId="2199E269"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11B4171B" w14:textId="77777777" w:rsidTr="00196122">
        <w:trPr>
          <w:trHeight w:val="288"/>
        </w:trPr>
        <w:tc>
          <w:tcPr>
            <w:tcW w:w="2923" w:type="dxa"/>
          </w:tcPr>
          <w:p w14:paraId="4DEF18C3"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3400 MHz</w:t>
            </w:r>
          </w:p>
        </w:tc>
        <w:tc>
          <w:tcPr>
            <w:tcW w:w="2923" w:type="dxa"/>
          </w:tcPr>
          <w:p w14:paraId="6895E025"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3600 MHz</w:t>
            </w:r>
          </w:p>
        </w:tc>
        <w:tc>
          <w:tcPr>
            <w:tcW w:w="2801" w:type="dxa"/>
          </w:tcPr>
          <w:p w14:paraId="58C4D1DE" w14:textId="77777777" w:rsidR="0046422C" w:rsidRPr="0046422C" w:rsidRDefault="0046422C" w:rsidP="00B949DA">
            <w:pPr>
              <w:pStyle w:val="TableParagraph"/>
              <w:spacing w:before="26"/>
              <w:ind w:left="1224" w:right="1212"/>
              <w:jc w:val="center"/>
              <w:rPr>
                <w:rFonts w:cs="Times New Roman"/>
                <w:sz w:val="20"/>
                <w:szCs w:val="20"/>
              </w:rPr>
            </w:pPr>
            <w:r w:rsidRPr="0046422C">
              <w:rPr>
                <w:rFonts w:cs="Times New Roman"/>
                <w:sz w:val="20"/>
                <w:szCs w:val="20"/>
              </w:rPr>
              <w:t>2.5</w:t>
            </w:r>
          </w:p>
        </w:tc>
      </w:tr>
      <w:tr w:rsidR="0046422C" w:rsidRPr="0046422C" w14:paraId="6E736104" w14:textId="77777777" w:rsidTr="00196122">
        <w:trPr>
          <w:trHeight w:val="288"/>
        </w:trPr>
        <w:tc>
          <w:tcPr>
            <w:tcW w:w="2923" w:type="dxa"/>
          </w:tcPr>
          <w:p w14:paraId="44E71809"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3600 MHz</w:t>
            </w:r>
          </w:p>
        </w:tc>
        <w:tc>
          <w:tcPr>
            <w:tcW w:w="2923" w:type="dxa"/>
          </w:tcPr>
          <w:p w14:paraId="7091F812"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4200 MHz</w:t>
            </w:r>
          </w:p>
        </w:tc>
        <w:tc>
          <w:tcPr>
            <w:tcW w:w="2801" w:type="dxa"/>
          </w:tcPr>
          <w:p w14:paraId="2AE6AC79" w14:textId="77777777" w:rsidR="0046422C" w:rsidRPr="0046422C" w:rsidRDefault="0046422C" w:rsidP="00B949DA">
            <w:pPr>
              <w:pStyle w:val="TableParagraph"/>
              <w:spacing w:before="26"/>
              <w:ind w:left="12"/>
              <w:jc w:val="center"/>
              <w:rPr>
                <w:rFonts w:cs="Times New Roman"/>
                <w:sz w:val="20"/>
                <w:szCs w:val="20"/>
              </w:rPr>
            </w:pPr>
            <w:r w:rsidRPr="0046422C">
              <w:rPr>
                <w:rFonts w:cs="Times New Roman"/>
                <w:sz w:val="20"/>
                <w:szCs w:val="20"/>
              </w:rPr>
              <w:t>1</w:t>
            </w:r>
          </w:p>
        </w:tc>
      </w:tr>
      <w:tr w:rsidR="0046422C" w:rsidRPr="0046422C" w14:paraId="624C7011" w14:textId="77777777" w:rsidTr="00196122">
        <w:trPr>
          <w:trHeight w:val="288"/>
        </w:trPr>
        <w:tc>
          <w:tcPr>
            <w:tcW w:w="2923" w:type="dxa"/>
          </w:tcPr>
          <w:p w14:paraId="5B5DC618"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4400 MHz</w:t>
            </w:r>
          </w:p>
        </w:tc>
        <w:tc>
          <w:tcPr>
            <w:tcW w:w="2923" w:type="dxa"/>
          </w:tcPr>
          <w:p w14:paraId="37857949"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8500 MHz</w:t>
            </w:r>
          </w:p>
        </w:tc>
        <w:tc>
          <w:tcPr>
            <w:tcW w:w="2801" w:type="dxa"/>
          </w:tcPr>
          <w:p w14:paraId="168AB4F2" w14:textId="77777777" w:rsidR="0046422C" w:rsidRPr="0046422C" w:rsidRDefault="0046422C" w:rsidP="00B949DA">
            <w:pPr>
              <w:pStyle w:val="TableParagraph"/>
              <w:spacing w:before="26"/>
              <w:ind w:left="1224" w:right="1212"/>
              <w:jc w:val="center"/>
              <w:rPr>
                <w:rFonts w:cs="Times New Roman"/>
                <w:sz w:val="20"/>
                <w:szCs w:val="20"/>
              </w:rPr>
            </w:pPr>
            <w:r w:rsidRPr="0046422C">
              <w:rPr>
                <w:rFonts w:cs="Times New Roman"/>
                <w:sz w:val="20"/>
                <w:szCs w:val="20"/>
              </w:rPr>
              <w:t>0.75</w:t>
            </w:r>
          </w:p>
        </w:tc>
      </w:tr>
      <w:tr w:rsidR="0046422C" w:rsidRPr="0046422C" w14:paraId="3D58592F" w14:textId="77777777" w:rsidTr="00196122">
        <w:trPr>
          <w:trHeight w:val="288"/>
        </w:trPr>
        <w:tc>
          <w:tcPr>
            <w:tcW w:w="2923" w:type="dxa"/>
          </w:tcPr>
          <w:p w14:paraId="2974394F"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10 GHz</w:t>
            </w:r>
          </w:p>
        </w:tc>
        <w:tc>
          <w:tcPr>
            <w:tcW w:w="2923" w:type="dxa"/>
          </w:tcPr>
          <w:p w14:paraId="6AC74C36"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15.35 GHz</w:t>
            </w:r>
          </w:p>
        </w:tc>
        <w:tc>
          <w:tcPr>
            <w:tcW w:w="2801" w:type="dxa"/>
          </w:tcPr>
          <w:p w14:paraId="7AC39C83" w14:textId="77777777" w:rsidR="0046422C" w:rsidRPr="0046422C" w:rsidRDefault="0046422C" w:rsidP="00B949DA">
            <w:pPr>
              <w:pStyle w:val="TableParagraph"/>
              <w:spacing w:before="26"/>
              <w:ind w:left="1224" w:right="1212"/>
              <w:jc w:val="center"/>
              <w:rPr>
                <w:rFonts w:cs="Times New Roman"/>
                <w:sz w:val="20"/>
                <w:szCs w:val="20"/>
              </w:rPr>
            </w:pPr>
            <w:r w:rsidRPr="0046422C">
              <w:rPr>
                <w:rFonts w:cs="Times New Roman"/>
                <w:sz w:val="20"/>
                <w:szCs w:val="20"/>
              </w:rPr>
              <w:t>0.75</w:t>
            </w:r>
          </w:p>
        </w:tc>
      </w:tr>
      <w:tr w:rsidR="0046422C" w:rsidRPr="0046422C" w14:paraId="5664BA38" w14:textId="77777777" w:rsidTr="00196122">
        <w:trPr>
          <w:trHeight w:val="288"/>
        </w:trPr>
        <w:tc>
          <w:tcPr>
            <w:tcW w:w="2923" w:type="dxa"/>
          </w:tcPr>
          <w:p w14:paraId="016222D7"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17.7 GHz</w:t>
            </w:r>
          </w:p>
        </w:tc>
        <w:tc>
          <w:tcPr>
            <w:tcW w:w="2923" w:type="dxa"/>
          </w:tcPr>
          <w:p w14:paraId="2CDF3F83" w14:textId="77777777" w:rsidR="0046422C" w:rsidRPr="0046422C" w:rsidRDefault="0046422C" w:rsidP="00B949DA">
            <w:pPr>
              <w:pStyle w:val="TableParagraph"/>
              <w:spacing w:before="26"/>
              <w:rPr>
                <w:rFonts w:cs="Times New Roman"/>
                <w:sz w:val="20"/>
                <w:szCs w:val="20"/>
              </w:rPr>
            </w:pPr>
            <w:r w:rsidRPr="0046422C">
              <w:rPr>
                <w:rFonts w:cs="Times New Roman"/>
                <w:sz w:val="20"/>
                <w:szCs w:val="20"/>
              </w:rPr>
              <w:t>100 GHz</w:t>
            </w:r>
          </w:p>
        </w:tc>
        <w:tc>
          <w:tcPr>
            <w:tcW w:w="2801" w:type="dxa"/>
          </w:tcPr>
          <w:p w14:paraId="0B946148" w14:textId="77777777" w:rsidR="0046422C" w:rsidRPr="0046422C" w:rsidRDefault="0046422C" w:rsidP="00B949DA">
            <w:pPr>
              <w:pStyle w:val="TableParagraph"/>
              <w:spacing w:before="26"/>
              <w:ind w:left="1224" w:right="1212"/>
              <w:jc w:val="center"/>
              <w:rPr>
                <w:rFonts w:cs="Times New Roman"/>
                <w:sz w:val="20"/>
                <w:szCs w:val="20"/>
              </w:rPr>
            </w:pPr>
            <w:r w:rsidRPr="0046422C">
              <w:rPr>
                <w:rFonts w:cs="Times New Roman"/>
                <w:sz w:val="20"/>
                <w:szCs w:val="20"/>
              </w:rPr>
              <w:t>0.5</w:t>
            </w:r>
          </w:p>
        </w:tc>
      </w:tr>
    </w:tbl>
    <w:p w14:paraId="5EC8B792" w14:textId="77777777" w:rsidR="0046422C" w:rsidRDefault="0046422C" w:rsidP="00346BB9">
      <w:pPr>
        <w:autoSpaceDE w:val="0"/>
        <w:autoSpaceDN w:val="0"/>
        <w:adjustRightInd w:val="0"/>
        <w:jc w:val="center"/>
        <w:rPr>
          <w:rFonts w:ascii="TimesNewRomanPS-BoldMT" w:hAnsi="TimesNewRomanPS-BoldMT" w:cs="TimesNewRomanPS-BoldMT"/>
          <w:b/>
          <w:bCs/>
          <w:noProof w:val="0"/>
          <w:lang w:val="en-ZA"/>
        </w:rPr>
      </w:pPr>
    </w:p>
    <w:p w14:paraId="49FC8E6F" w14:textId="423665A5" w:rsidR="00346BB9"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TABLE 3</w:t>
      </w:r>
    </w:p>
    <w:p w14:paraId="0537C475" w14:textId="5C5F3C1B" w:rsidR="00196122" w:rsidRDefault="00196122" w:rsidP="00196122">
      <w:pPr>
        <w:pStyle w:val="REG-Amend"/>
      </w:pPr>
      <w:r>
        <w:t>[Table 3 is substituted by General Notice 738/2023.]</w:t>
      </w:r>
    </w:p>
    <w:p w14:paraId="78F11A2D" w14:textId="77777777" w:rsidR="00346BB9" w:rsidRPr="0046422C"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FREQUENCY BAND FACTOR (</w:t>
      </w:r>
      <w:proofErr w:type="spellStart"/>
      <w:r w:rsidRPr="0046422C">
        <w:rPr>
          <w:rFonts w:ascii="TimesNewRomanPS-BoldMT" w:hAnsi="TimesNewRomanPS-BoldMT" w:cs="TimesNewRomanPS-BoldMT"/>
          <w:b/>
          <w:bCs/>
          <w:noProof w:val="0"/>
          <w:lang w:val="en-ZA"/>
        </w:rPr>
        <w:t>FBF</w:t>
      </w:r>
      <w:proofErr w:type="spellEnd"/>
      <w:r w:rsidRPr="0046422C">
        <w:rPr>
          <w:rFonts w:ascii="TimesNewRomanPS-BoldMT" w:hAnsi="TimesNewRomanPS-BoldMT" w:cs="TimesNewRomanPS-BoldMT"/>
          <w:b/>
          <w:bCs/>
          <w:noProof w:val="0"/>
          <w:lang w:val="en-ZA"/>
        </w:rPr>
        <w:t>):</w:t>
      </w:r>
    </w:p>
    <w:p w14:paraId="61E57CF1" w14:textId="4475E145" w:rsidR="00346BB9"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MOBILE SERVICES (Time Division Duplex and Frequency Division Duplex)</w:t>
      </w:r>
    </w:p>
    <w:p w14:paraId="024CBD66" w14:textId="77777777" w:rsidR="00196122" w:rsidRDefault="00196122" w:rsidP="00196122">
      <w:pPr>
        <w:autoSpaceDE w:val="0"/>
        <w:autoSpaceDN w:val="0"/>
        <w:adjustRightInd w:val="0"/>
        <w:jc w:val="center"/>
        <w:rPr>
          <w:rFonts w:ascii="TimesNewRomanPS-BoldMT" w:hAnsi="TimesNewRomanPS-BoldMT" w:cs="TimesNewRomanPS-BoldMT"/>
          <w:b/>
          <w:bCs/>
          <w:noProof w:val="0"/>
          <w:lang w:val="en-ZA"/>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977"/>
        <w:gridCol w:w="2693"/>
      </w:tblGrid>
      <w:tr w:rsidR="00196122" w14:paraId="39332A06" w14:textId="77777777" w:rsidTr="00196122">
        <w:trPr>
          <w:trHeight w:val="288"/>
        </w:trPr>
        <w:tc>
          <w:tcPr>
            <w:tcW w:w="5954" w:type="dxa"/>
            <w:gridSpan w:val="2"/>
          </w:tcPr>
          <w:p w14:paraId="550AB03F" w14:textId="77777777" w:rsidR="00196122" w:rsidRDefault="00196122" w:rsidP="00F02DA4">
            <w:pPr>
              <w:pStyle w:val="TableParagraph"/>
              <w:spacing w:before="27"/>
              <w:ind w:left="2202" w:right="2193"/>
              <w:jc w:val="center"/>
              <w:rPr>
                <w:sz w:val="20"/>
              </w:rPr>
            </w:pPr>
            <w:r>
              <w:rPr>
                <w:sz w:val="20"/>
              </w:rPr>
              <w:t>Frequency Range</w:t>
            </w:r>
          </w:p>
        </w:tc>
        <w:tc>
          <w:tcPr>
            <w:tcW w:w="2693" w:type="dxa"/>
            <w:vMerge w:val="restart"/>
            <w:vAlign w:val="center"/>
          </w:tcPr>
          <w:p w14:paraId="16183197" w14:textId="77777777" w:rsidR="00196122" w:rsidRPr="00196122" w:rsidRDefault="00196122" w:rsidP="00196122">
            <w:pPr>
              <w:pStyle w:val="REG-P0"/>
              <w:jc w:val="center"/>
              <w:rPr>
                <w:sz w:val="20"/>
              </w:rPr>
            </w:pPr>
            <w:r w:rsidRPr="00196122">
              <w:rPr>
                <w:sz w:val="20"/>
              </w:rPr>
              <w:t>FBF</w:t>
            </w:r>
          </w:p>
        </w:tc>
      </w:tr>
      <w:tr w:rsidR="00196122" w14:paraId="33802ED8" w14:textId="77777777" w:rsidTr="00196122">
        <w:trPr>
          <w:trHeight w:val="288"/>
        </w:trPr>
        <w:tc>
          <w:tcPr>
            <w:tcW w:w="2977" w:type="dxa"/>
          </w:tcPr>
          <w:p w14:paraId="7ADFFC8C" w14:textId="77777777" w:rsidR="00196122" w:rsidRDefault="00196122" w:rsidP="00F02DA4">
            <w:pPr>
              <w:pStyle w:val="TableParagraph"/>
              <w:spacing w:before="27"/>
              <w:ind w:left="1225" w:right="1216"/>
              <w:jc w:val="center"/>
              <w:rPr>
                <w:sz w:val="20"/>
              </w:rPr>
            </w:pPr>
            <w:r>
              <w:rPr>
                <w:sz w:val="20"/>
              </w:rPr>
              <w:t>From</w:t>
            </w:r>
          </w:p>
        </w:tc>
        <w:tc>
          <w:tcPr>
            <w:tcW w:w="2977" w:type="dxa"/>
          </w:tcPr>
          <w:p w14:paraId="7DE874ED" w14:textId="77777777" w:rsidR="00196122" w:rsidRDefault="00196122" w:rsidP="00F02DA4">
            <w:pPr>
              <w:pStyle w:val="TableParagraph"/>
              <w:spacing w:before="27"/>
              <w:ind w:left="1214" w:right="1216"/>
              <w:jc w:val="center"/>
              <w:rPr>
                <w:sz w:val="20"/>
              </w:rPr>
            </w:pPr>
            <w:r>
              <w:rPr>
                <w:sz w:val="20"/>
              </w:rPr>
              <w:t>To</w:t>
            </w:r>
          </w:p>
        </w:tc>
        <w:tc>
          <w:tcPr>
            <w:tcW w:w="2693" w:type="dxa"/>
            <w:vMerge/>
            <w:tcBorders>
              <w:top w:val="nil"/>
            </w:tcBorders>
            <w:vAlign w:val="center"/>
          </w:tcPr>
          <w:p w14:paraId="59DAA1DB" w14:textId="77777777" w:rsidR="00196122" w:rsidRPr="00196122" w:rsidRDefault="00196122" w:rsidP="00196122">
            <w:pPr>
              <w:pStyle w:val="REG-P0"/>
              <w:jc w:val="center"/>
              <w:rPr>
                <w:sz w:val="20"/>
                <w:szCs w:val="2"/>
              </w:rPr>
            </w:pPr>
          </w:p>
        </w:tc>
      </w:tr>
      <w:tr w:rsidR="00196122" w14:paraId="45FEADB4" w14:textId="77777777" w:rsidTr="00196122">
        <w:trPr>
          <w:trHeight w:val="288"/>
        </w:trPr>
        <w:tc>
          <w:tcPr>
            <w:tcW w:w="2977" w:type="dxa"/>
          </w:tcPr>
          <w:p w14:paraId="5791D79A" w14:textId="77777777" w:rsidR="00196122" w:rsidRDefault="00196122" w:rsidP="00F02DA4">
            <w:pPr>
              <w:pStyle w:val="TableParagraph"/>
              <w:spacing w:before="27"/>
              <w:rPr>
                <w:sz w:val="20"/>
              </w:rPr>
            </w:pPr>
            <w:r>
              <w:rPr>
                <w:sz w:val="20"/>
              </w:rPr>
              <w:t>450 MHz</w:t>
            </w:r>
          </w:p>
        </w:tc>
        <w:tc>
          <w:tcPr>
            <w:tcW w:w="2977" w:type="dxa"/>
          </w:tcPr>
          <w:p w14:paraId="1109258F" w14:textId="77777777" w:rsidR="00196122" w:rsidRDefault="00196122" w:rsidP="00F02DA4">
            <w:pPr>
              <w:pStyle w:val="TableParagraph"/>
              <w:spacing w:before="27"/>
              <w:ind w:left="79"/>
              <w:rPr>
                <w:sz w:val="20"/>
              </w:rPr>
            </w:pPr>
            <w:r>
              <w:rPr>
                <w:sz w:val="20"/>
              </w:rPr>
              <w:t>470 MHz</w:t>
            </w:r>
          </w:p>
        </w:tc>
        <w:tc>
          <w:tcPr>
            <w:tcW w:w="2693" w:type="dxa"/>
            <w:vAlign w:val="center"/>
          </w:tcPr>
          <w:p w14:paraId="26F2A708" w14:textId="77777777" w:rsidR="00196122" w:rsidRPr="00196122" w:rsidRDefault="00196122" w:rsidP="00196122">
            <w:pPr>
              <w:pStyle w:val="REG-P0"/>
              <w:jc w:val="center"/>
              <w:rPr>
                <w:sz w:val="20"/>
              </w:rPr>
            </w:pPr>
            <w:r w:rsidRPr="00196122">
              <w:rPr>
                <w:sz w:val="20"/>
              </w:rPr>
              <w:t>0.5</w:t>
            </w:r>
          </w:p>
        </w:tc>
      </w:tr>
      <w:tr w:rsidR="00196122" w14:paraId="08656F57" w14:textId="77777777" w:rsidTr="00196122">
        <w:trPr>
          <w:trHeight w:val="288"/>
        </w:trPr>
        <w:tc>
          <w:tcPr>
            <w:tcW w:w="2977" w:type="dxa"/>
          </w:tcPr>
          <w:p w14:paraId="565ABD63" w14:textId="77777777" w:rsidR="00196122" w:rsidRDefault="00196122" w:rsidP="00F02DA4">
            <w:pPr>
              <w:pStyle w:val="TableParagraph"/>
              <w:spacing w:before="27"/>
              <w:rPr>
                <w:sz w:val="20"/>
              </w:rPr>
            </w:pPr>
            <w:r>
              <w:rPr>
                <w:sz w:val="20"/>
              </w:rPr>
              <w:t>694 MHz</w:t>
            </w:r>
          </w:p>
        </w:tc>
        <w:tc>
          <w:tcPr>
            <w:tcW w:w="2977" w:type="dxa"/>
          </w:tcPr>
          <w:p w14:paraId="7220677D" w14:textId="77777777" w:rsidR="00196122" w:rsidRDefault="00196122" w:rsidP="00F02DA4">
            <w:pPr>
              <w:pStyle w:val="TableParagraph"/>
              <w:spacing w:before="27"/>
              <w:ind w:left="79"/>
              <w:rPr>
                <w:sz w:val="20"/>
              </w:rPr>
            </w:pPr>
            <w:r>
              <w:rPr>
                <w:sz w:val="20"/>
              </w:rPr>
              <w:t>790 MHz</w:t>
            </w:r>
          </w:p>
        </w:tc>
        <w:tc>
          <w:tcPr>
            <w:tcW w:w="2693" w:type="dxa"/>
            <w:vAlign w:val="center"/>
          </w:tcPr>
          <w:p w14:paraId="602F0F29" w14:textId="77777777" w:rsidR="00196122" w:rsidRPr="00196122" w:rsidRDefault="00196122" w:rsidP="00196122">
            <w:pPr>
              <w:pStyle w:val="REG-P0"/>
              <w:jc w:val="center"/>
              <w:rPr>
                <w:sz w:val="20"/>
              </w:rPr>
            </w:pPr>
            <w:r w:rsidRPr="00196122">
              <w:rPr>
                <w:sz w:val="20"/>
              </w:rPr>
              <w:t>1.5</w:t>
            </w:r>
          </w:p>
        </w:tc>
      </w:tr>
      <w:tr w:rsidR="00196122" w14:paraId="2D4DE160" w14:textId="77777777" w:rsidTr="00196122">
        <w:trPr>
          <w:trHeight w:val="288"/>
        </w:trPr>
        <w:tc>
          <w:tcPr>
            <w:tcW w:w="2977" w:type="dxa"/>
          </w:tcPr>
          <w:p w14:paraId="366D0F1C" w14:textId="77777777" w:rsidR="00196122" w:rsidRDefault="00196122" w:rsidP="00F02DA4">
            <w:pPr>
              <w:pStyle w:val="TableParagraph"/>
              <w:spacing w:before="27"/>
              <w:rPr>
                <w:sz w:val="20"/>
              </w:rPr>
            </w:pPr>
            <w:r>
              <w:rPr>
                <w:sz w:val="20"/>
              </w:rPr>
              <w:t>790 MHz</w:t>
            </w:r>
          </w:p>
        </w:tc>
        <w:tc>
          <w:tcPr>
            <w:tcW w:w="2977" w:type="dxa"/>
          </w:tcPr>
          <w:p w14:paraId="10E968FC" w14:textId="77777777" w:rsidR="00196122" w:rsidRDefault="00196122" w:rsidP="00F02DA4">
            <w:pPr>
              <w:pStyle w:val="TableParagraph"/>
              <w:spacing w:before="27"/>
              <w:ind w:left="79"/>
              <w:rPr>
                <w:sz w:val="20"/>
              </w:rPr>
            </w:pPr>
            <w:r>
              <w:rPr>
                <w:sz w:val="20"/>
              </w:rPr>
              <w:t>862 MHz</w:t>
            </w:r>
          </w:p>
        </w:tc>
        <w:tc>
          <w:tcPr>
            <w:tcW w:w="2693" w:type="dxa"/>
            <w:vAlign w:val="center"/>
          </w:tcPr>
          <w:p w14:paraId="656D4DC8" w14:textId="77777777" w:rsidR="00196122" w:rsidRPr="00196122" w:rsidRDefault="00196122" w:rsidP="00196122">
            <w:pPr>
              <w:pStyle w:val="REG-P0"/>
              <w:jc w:val="center"/>
              <w:rPr>
                <w:sz w:val="20"/>
              </w:rPr>
            </w:pPr>
            <w:r w:rsidRPr="00196122">
              <w:rPr>
                <w:sz w:val="20"/>
              </w:rPr>
              <w:t>1.5</w:t>
            </w:r>
          </w:p>
        </w:tc>
      </w:tr>
      <w:tr w:rsidR="00196122" w14:paraId="108D3222" w14:textId="77777777" w:rsidTr="00196122">
        <w:trPr>
          <w:trHeight w:val="288"/>
        </w:trPr>
        <w:tc>
          <w:tcPr>
            <w:tcW w:w="2977" w:type="dxa"/>
          </w:tcPr>
          <w:p w14:paraId="1FCBF30C" w14:textId="77777777" w:rsidR="00196122" w:rsidRDefault="00196122" w:rsidP="00F02DA4">
            <w:pPr>
              <w:pStyle w:val="TableParagraph"/>
              <w:spacing w:before="26"/>
              <w:rPr>
                <w:sz w:val="20"/>
              </w:rPr>
            </w:pPr>
            <w:r>
              <w:rPr>
                <w:sz w:val="20"/>
              </w:rPr>
              <w:t>862 MHz</w:t>
            </w:r>
          </w:p>
        </w:tc>
        <w:tc>
          <w:tcPr>
            <w:tcW w:w="2977" w:type="dxa"/>
          </w:tcPr>
          <w:p w14:paraId="6E37DEA9" w14:textId="77777777" w:rsidR="00196122" w:rsidRDefault="00196122" w:rsidP="00F02DA4">
            <w:pPr>
              <w:pStyle w:val="TableParagraph"/>
              <w:spacing w:before="26"/>
              <w:ind w:left="79"/>
              <w:rPr>
                <w:sz w:val="20"/>
              </w:rPr>
            </w:pPr>
            <w:r>
              <w:rPr>
                <w:sz w:val="20"/>
              </w:rPr>
              <w:t>960 MHz</w:t>
            </w:r>
          </w:p>
        </w:tc>
        <w:tc>
          <w:tcPr>
            <w:tcW w:w="2693" w:type="dxa"/>
            <w:vAlign w:val="center"/>
          </w:tcPr>
          <w:p w14:paraId="7065E849" w14:textId="77777777" w:rsidR="00196122" w:rsidRPr="00196122" w:rsidRDefault="00196122" w:rsidP="00196122">
            <w:pPr>
              <w:pStyle w:val="REG-P0"/>
              <w:jc w:val="center"/>
              <w:rPr>
                <w:sz w:val="20"/>
              </w:rPr>
            </w:pPr>
            <w:r w:rsidRPr="00196122">
              <w:rPr>
                <w:sz w:val="20"/>
              </w:rPr>
              <w:t>1.5</w:t>
            </w:r>
          </w:p>
        </w:tc>
      </w:tr>
      <w:tr w:rsidR="00196122" w14:paraId="7D145476" w14:textId="77777777" w:rsidTr="00196122">
        <w:trPr>
          <w:trHeight w:val="288"/>
        </w:trPr>
        <w:tc>
          <w:tcPr>
            <w:tcW w:w="2977" w:type="dxa"/>
          </w:tcPr>
          <w:p w14:paraId="13C8EE56" w14:textId="77777777" w:rsidR="00196122" w:rsidRDefault="00196122" w:rsidP="00F02DA4">
            <w:pPr>
              <w:pStyle w:val="TableParagraph"/>
              <w:spacing w:before="26"/>
              <w:rPr>
                <w:sz w:val="20"/>
              </w:rPr>
            </w:pPr>
            <w:r>
              <w:rPr>
                <w:sz w:val="20"/>
              </w:rPr>
              <w:t>1427 MHz</w:t>
            </w:r>
          </w:p>
        </w:tc>
        <w:tc>
          <w:tcPr>
            <w:tcW w:w="2977" w:type="dxa"/>
          </w:tcPr>
          <w:p w14:paraId="1E6C249F" w14:textId="77777777" w:rsidR="00196122" w:rsidRDefault="00196122" w:rsidP="00F02DA4">
            <w:pPr>
              <w:pStyle w:val="TableParagraph"/>
              <w:spacing w:before="26"/>
              <w:ind w:left="79"/>
              <w:rPr>
                <w:sz w:val="20"/>
              </w:rPr>
            </w:pPr>
            <w:r>
              <w:rPr>
                <w:sz w:val="20"/>
              </w:rPr>
              <w:t>1675 MHz</w:t>
            </w:r>
          </w:p>
        </w:tc>
        <w:tc>
          <w:tcPr>
            <w:tcW w:w="2693" w:type="dxa"/>
            <w:vAlign w:val="center"/>
          </w:tcPr>
          <w:p w14:paraId="35C5B743" w14:textId="77777777" w:rsidR="00196122" w:rsidRPr="00196122" w:rsidRDefault="00196122" w:rsidP="00196122">
            <w:pPr>
              <w:pStyle w:val="REG-P0"/>
              <w:jc w:val="center"/>
              <w:rPr>
                <w:sz w:val="20"/>
              </w:rPr>
            </w:pPr>
            <w:r w:rsidRPr="00196122">
              <w:rPr>
                <w:sz w:val="20"/>
              </w:rPr>
              <w:t>0.75</w:t>
            </w:r>
          </w:p>
        </w:tc>
      </w:tr>
      <w:tr w:rsidR="00196122" w14:paraId="776FA160" w14:textId="77777777" w:rsidTr="00196122">
        <w:trPr>
          <w:trHeight w:val="288"/>
        </w:trPr>
        <w:tc>
          <w:tcPr>
            <w:tcW w:w="2977" w:type="dxa"/>
          </w:tcPr>
          <w:p w14:paraId="0FF92BE1" w14:textId="77777777" w:rsidR="00196122" w:rsidRDefault="00196122" w:rsidP="00F02DA4">
            <w:pPr>
              <w:pStyle w:val="TableParagraph"/>
              <w:spacing w:before="26"/>
              <w:rPr>
                <w:sz w:val="20"/>
              </w:rPr>
            </w:pPr>
            <w:r>
              <w:rPr>
                <w:sz w:val="20"/>
              </w:rPr>
              <w:t>1710 MHz</w:t>
            </w:r>
          </w:p>
        </w:tc>
        <w:tc>
          <w:tcPr>
            <w:tcW w:w="2977" w:type="dxa"/>
          </w:tcPr>
          <w:p w14:paraId="651517B3" w14:textId="77777777" w:rsidR="00196122" w:rsidRDefault="00196122" w:rsidP="00F02DA4">
            <w:pPr>
              <w:pStyle w:val="TableParagraph"/>
              <w:spacing w:before="26"/>
              <w:ind w:left="79"/>
              <w:rPr>
                <w:sz w:val="20"/>
              </w:rPr>
            </w:pPr>
            <w:r>
              <w:rPr>
                <w:sz w:val="20"/>
              </w:rPr>
              <w:t>1785 MHz</w:t>
            </w:r>
          </w:p>
        </w:tc>
        <w:tc>
          <w:tcPr>
            <w:tcW w:w="2693" w:type="dxa"/>
            <w:vAlign w:val="center"/>
          </w:tcPr>
          <w:p w14:paraId="753B1A5F" w14:textId="77777777" w:rsidR="00196122" w:rsidRPr="00196122" w:rsidRDefault="00196122" w:rsidP="00196122">
            <w:pPr>
              <w:pStyle w:val="REG-P0"/>
              <w:jc w:val="center"/>
              <w:rPr>
                <w:sz w:val="20"/>
              </w:rPr>
            </w:pPr>
            <w:r w:rsidRPr="00196122">
              <w:rPr>
                <w:sz w:val="20"/>
              </w:rPr>
              <w:t>0.75</w:t>
            </w:r>
          </w:p>
        </w:tc>
      </w:tr>
      <w:tr w:rsidR="00196122" w14:paraId="41EA8D83" w14:textId="77777777" w:rsidTr="00196122">
        <w:trPr>
          <w:trHeight w:val="288"/>
        </w:trPr>
        <w:tc>
          <w:tcPr>
            <w:tcW w:w="2977" w:type="dxa"/>
          </w:tcPr>
          <w:p w14:paraId="108ECB40" w14:textId="77777777" w:rsidR="00196122" w:rsidRDefault="00196122" w:rsidP="00F02DA4">
            <w:pPr>
              <w:pStyle w:val="TableParagraph"/>
              <w:spacing w:before="26"/>
              <w:rPr>
                <w:sz w:val="20"/>
              </w:rPr>
            </w:pPr>
            <w:r>
              <w:rPr>
                <w:sz w:val="20"/>
              </w:rPr>
              <w:t>1805 MHz</w:t>
            </w:r>
          </w:p>
        </w:tc>
        <w:tc>
          <w:tcPr>
            <w:tcW w:w="2977" w:type="dxa"/>
          </w:tcPr>
          <w:p w14:paraId="511814F7" w14:textId="77777777" w:rsidR="00196122" w:rsidRDefault="00196122" w:rsidP="00F02DA4">
            <w:pPr>
              <w:pStyle w:val="TableParagraph"/>
              <w:spacing w:before="26"/>
              <w:ind w:left="79"/>
              <w:rPr>
                <w:sz w:val="20"/>
              </w:rPr>
            </w:pPr>
            <w:r>
              <w:rPr>
                <w:sz w:val="20"/>
              </w:rPr>
              <w:t>1880 MHz</w:t>
            </w:r>
          </w:p>
        </w:tc>
        <w:tc>
          <w:tcPr>
            <w:tcW w:w="2693" w:type="dxa"/>
            <w:vAlign w:val="center"/>
          </w:tcPr>
          <w:p w14:paraId="23E922D8" w14:textId="77777777" w:rsidR="00196122" w:rsidRPr="00196122" w:rsidRDefault="00196122" w:rsidP="00196122">
            <w:pPr>
              <w:pStyle w:val="REG-P0"/>
              <w:jc w:val="center"/>
              <w:rPr>
                <w:sz w:val="20"/>
              </w:rPr>
            </w:pPr>
            <w:r w:rsidRPr="00196122">
              <w:rPr>
                <w:sz w:val="20"/>
              </w:rPr>
              <w:t>0.75</w:t>
            </w:r>
          </w:p>
        </w:tc>
      </w:tr>
      <w:tr w:rsidR="00196122" w14:paraId="02DDB295" w14:textId="77777777" w:rsidTr="00196122">
        <w:trPr>
          <w:trHeight w:val="288"/>
        </w:trPr>
        <w:tc>
          <w:tcPr>
            <w:tcW w:w="2977" w:type="dxa"/>
          </w:tcPr>
          <w:p w14:paraId="5E43BAA5" w14:textId="77777777" w:rsidR="00196122" w:rsidRDefault="00196122" w:rsidP="00F02DA4">
            <w:pPr>
              <w:pStyle w:val="TableParagraph"/>
              <w:spacing w:before="26"/>
              <w:rPr>
                <w:sz w:val="20"/>
              </w:rPr>
            </w:pPr>
            <w:r>
              <w:rPr>
                <w:sz w:val="20"/>
              </w:rPr>
              <w:t>1920 MHz</w:t>
            </w:r>
          </w:p>
        </w:tc>
        <w:tc>
          <w:tcPr>
            <w:tcW w:w="2977" w:type="dxa"/>
          </w:tcPr>
          <w:p w14:paraId="675C46E6" w14:textId="77777777" w:rsidR="00196122" w:rsidRDefault="00196122" w:rsidP="00F02DA4">
            <w:pPr>
              <w:pStyle w:val="TableParagraph"/>
              <w:spacing w:before="26"/>
              <w:ind w:left="79"/>
              <w:rPr>
                <w:sz w:val="20"/>
              </w:rPr>
            </w:pPr>
            <w:r>
              <w:rPr>
                <w:sz w:val="20"/>
              </w:rPr>
              <w:t>1980 MHz</w:t>
            </w:r>
          </w:p>
        </w:tc>
        <w:tc>
          <w:tcPr>
            <w:tcW w:w="2693" w:type="dxa"/>
            <w:vAlign w:val="center"/>
          </w:tcPr>
          <w:p w14:paraId="5A18C22A" w14:textId="77777777" w:rsidR="00196122" w:rsidRPr="00196122" w:rsidRDefault="00196122" w:rsidP="00196122">
            <w:pPr>
              <w:pStyle w:val="REG-P0"/>
              <w:jc w:val="center"/>
              <w:rPr>
                <w:sz w:val="20"/>
              </w:rPr>
            </w:pPr>
            <w:r w:rsidRPr="00196122">
              <w:rPr>
                <w:sz w:val="20"/>
              </w:rPr>
              <w:t>0.75</w:t>
            </w:r>
          </w:p>
        </w:tc>
      </w:tr>
      <w:tr w:rsidR="00196122" w14:paraId="28B37558" w14:textId="77777777" w:rsidTr="00196122">
        <w:trPr>
          <w:trHeight w:val="288"/>
        </w:trPr>
        <w:tc>
          <w:tcPr>
            <w:tcW w:w="2977" w:type="dxa"/>
          </w:tcPr>
          <w:p w14:paraId="0E18B222" w14:textId="77777777" w:rsidR="00196122" w:rsidRDefault="00196122" w:rsidP="00F02DA4">
            <w:pPr>
              <w:pStyle w:val="TableParagraph"/>
              <w:spacing w:before="26"/>
              <w:rPr>
                <w:sz w:val="20"/>
              </w:rPr>
            </w:pPr>
            <w:r>
              <w:rPr>
                <w:sz w:val="20"/>
              </w:rPr>
              <w:t>2110 MHz</w:t>
            </w:r>
          </w:p>
        </w:tc>
        <w:tc>
          <w:tcPr>
            <w:tcW w:w="2977" w:type="dxa"/>
          </w:tcPr>
          <w:p w14:paraId="64767813" w14:textId="77777777" w:rsidR="00196122" w:rsidRDefault="00196122" w:rsidP="00F02DA4">
            <w:pPr>
              <w:pStyle w:val="TableParagraph"/>
              <w:spacing w:before="26"/>
              <w:ind w:left="79"/>
              <w:rPr>
                <w:sz w:val="20"/>
              </w:rPr>
            </w:pPr>
            <w:r>
              <w:rPr>
                <w:sz w:val="20"/>
              </w:rPr>
              <w:t>2170 MHz</w:t>
            </w:r>
          </w:p>
        </w:tc>
        <w:tc>
          <w:tcPr>
            <w:tcW w:w="2693" w:type="dxa"/>
            <w:vAlign w:val="center"/>
          </w:tcPr>
          <w:p w14:paraId="2FE96AD0" w14:textId="77777777" w:rsidR="00196122" w:rsidRPr="00196122" w:rsidRDefault="00196122" w:rsidP="00196122">
            <w:pPr>
              <w:pStyle w:val="REG-P0"/>
              <w:jc w:val="center"/>
              <w:rPr>
                <w:sz w:val="20"/>
              </w:rPr>
            </w:pPr>
            <w:r w:rsidRPr="00196122">
              <w:rPr>
                <w:sz w:val="20"/>
              </w:rPr>
              <w:t>0.75</w:t>
            </w:r>
          </w:p>
        </w:tc>
      </w:tr>
      <w:tr w:rsidR="00196122" w14:paraId="21558ADD" w14:textId="77777777" w:rsidTr="00196122">
        <w:trPr>
          <w:trHeight w:val="288"/>
        </w:trPr>
        <w:tc>
          <w:tcPr>
            <w:tcW w:w="2977" w:type="dxa"/>
          </w:tcPr>
          <w:p w14:paraId="07A98B43" w14:textId="77777777" w:rsidR="00196122" w:rsidRDefault="00196122" w:rsidP="00F02DA4">
            <w:pPr>
              <w:pStyle w:val="TableParagraph"/>
              <w:spacing w:before="26"/>
              <w:rPr>
                <w:sz w:val="20"/>
              </w:rPr>
            </w:pPr>
            <w:r w:rsidRPr="00C346C5">
              <w:rPr>
                <w:sz w:val="20"/>
              </w:rPr>
              <w:t>2300 MHz</w:t>
            </w:r>
          </w:p>
        </w:tc>
        <w:tc>
          <w:tcPr>
            <w:tcW w:w="2977" w:type="dxa"/>
          </w:tcPr>
          <w:p w14:paraId="0E503819" w14:textId="77777777" w:rsidR="00196122" w:rsidRDefault="00196122" w:rsidP="00F02DA4">
            <w:pPr>
              <w:pStyle w:val="TableParagraph"/>
              <w:spacing w:before="26"/>
              <w:ind w:left="79"/>
              <w:rPr>
                <w:sz w:val="20"/>
              </w:rPr>
            </w:pPr>
            <w:r w:rsidRPr="00C346C5">
              <w:rPr>
                <w:sz w:val="20"/>
              </w:rPr>
              <w:t>2400 MHz</w:t>
            </w:r>
          </w:p>
        </w:tc>
        <w:tc>
          <w:tcPr>
            <w:tcW w:w="2693" w:type="dxa"/>
            <w:vAlign w:val="center"/>
          </w:tcPr>
          <w:p w14:paraId="3684D7BF" w14:textId="77777777" w:rsidR="00196122" w:rsidRPr="00196122" w:rsidRDefault="00196122" w:rsidP="00196122">
            <w:pPr>
              <w:pStyle w:val="REG-P0"/>
              <w:jc w:val="center"/>
              <w:rPr>
                <w:sz w:val="20"/>
              </w:rPr>
            </w:pPr>
            <w:r w:rsidRPr="00196122">
              <w:rPr>
                <w:sz w:val="20"/>
              </w:rPr>
              <w:t>1</w:t>
            </w:r>
          </w:p>
        </w:tc>
      </w:tr>
      <w:tr w:rsidR="00196122" w14:paraId="1D8C7EED" w14:textId="77777777" w:rsidTr="00196122">
        <w:trPr>
          <w:trHeight w:val="288"/>
        </w:trPr>
        <w:tc>
          <w:tcPr>
            <w:tcW w:w="2977" w:type="dxa"/>
          </w:tcPr>
          <w:p w14:paraId="69BCF6E8" w14:textId="77777777" w:rsidR="00196122" w:rsidRDefault="00196122" w:rsidP="00F02DA4">
            <w:pPr>
              <w:pStyle w:val="TableParagraph"/>
              <w:spacing w:before="26"/>
              <w:rPr>
                <w:sz w:val="20"/>
              </w:rPr>
            </w:pPr>
            <w:r>
              <w:rPr>
                <w:sz w:val="20"/>
              </w:rPr>
              <w:t>2500 MHz</w:t>
            </w:r>
          </w:p>
        </w:tc>
        <w:tc>
          <w:tcPr>
            <w:tcW w:w="2977" w:type="dxa"/>
          </w:tcPr>
          <w:p w14:paraId="11590C15" w14:textId="77777777" w:rsidR="00196122" w:rsidRDefault="00196122" w:rsidP="00F02DA4">
            <w:pPr>
              <w:pStyle w:val="TableParagraph"/>
              <w:spacing w:before="26"/>
              <w:ind w:left="79"/>
              <w:rPr>
                <w:sz w:val="20"/>
              </w:rPr>
            </w:pPr>
            <w:r>
              <w:rPr>
                <w:sz w:val="20"/>
              </w:rPr>
              <w:t>2690 MHz</w:t>
            </w:r>
          </w:p>
        </w:tc>
        <w:tc>
          <w:tcPr>
            <w:tcW w:w="2693" w:type="dxa"/>
            <w:vAlign w:val="center"/>
          </w:tcPr>
          <w:p w14:paraId="20314764" w14:textId="77777777" w:rsidR="00196122" w:rsidRPr="00196122" w:rsidRDefault="00196122" w:rsidP="00196122">
            <w:pPr>
              <w:pStyle w:val="REG-P0"/>
              <w:jc w:val="center"/>
              <w:rPr>
                <w:sz w:val="20"/>
              </w:rPr>
            </w:pPr>
            <w:r w:rsidRPr="00196122">
              <w:rPr>
                <w:sz w:val="20"/>
              </w:rPr>
              <w:t>1</w:t>
            </w:r>
          </w:p>
        </w:tc>
      </w:tr>
      <w:tr w:rsidR="00196122" w14:paraId="42BBB82C" w14:textId="77777777" w:rsidTr="00196122">
        <w:trPr>
          <w:trHeight w:val="288"/>
        </w:trPr>
        <w:tc>
          <w:tcPr>
            <w:tcW w:w="2977" w:type="dxa"/>
          </w:tcPr>
          <w:p w14:paraId="31EE1B65" w14:textId="77777777" w:rsidR="00196122" w:rsidRDefault="00196122" w:rsidP="00F02DA4">
            <w:pPr>
              <w:pStyle w:val="TableParagraph"/>
              <w:spacing w:before="26"/>
              <w:rPr>
                <w:sz w:val="20"/>
              </w:rPr>
            </w:pPr>
            <w:r>
              <w:rPr>
                <w:sz w:val="20"/>
              </w:rPr>
              <w:t>3300 MHz</w:t>
            </w:r>
          </w:p>
        </w:tc>
        <w:tc>
          <w:tcPr>
            <w:tcW w:w="2977" w:type="dxa"/>
          </w:tcPr>
          <w:p w14:paraId="169DCE9B" w14:textId="77777777" w:rsidR="00196122" w:rsidRDefault="00196122" w:rsidP="00F02DA4">
            <w:pPr>
              <w:pStyle w:val="TableParagraph"/>
              <w:spacing w:before="26"/>
              <w:ind w:left="79"/>
              <w:rPr>
                <w:sz w:val="20"/>
              </w:rPr>
            </w:pPr>
            <w:r>
              <w:rPr>
                <w:sz w:val="20"/>
              </w:rPr>
              <w:t>3600 MHz</w:t>
            </w:r>
          </w:p>
        </w:tc>
        <w:tc>
          <w:tcPr>
            <w:tcW w:w="2693" w:type="dxa"/>
            <w:vAlign w:val="center"/>
          </w:tcPr>
          <w:p w14:paraId="3F0BCCC7" w14:textId="77777777" w:rsidR="00196122" w:rsidRPr="00196122" w:rsidRDefault="00196122" w:rsidP="00196122">
            <w:pPr>
              <w:pStyle w:val="REG-P0"/>
              <w:jc w:val="center"/>
              <w:rPr>
                <w:sz w:val="20"/>
              </w:rPr>
            </w:pPr>
            <w:r w:rsidRPr="00196122">
              <w:rPr>
                <w:sz w:val="20"/>
              </w:rPr>
              <w:t>2.25</w:t>
            </w:r>
          </w:p>
        </w:tc>
      </w:tr>
      <w:tr w:rsidR="00196122" w14:paraId="6A952EDB" w14:textId="77777777" w:rsidTr="00196122">
        <w:trPr>
          <w:trHeight w:val="288"/>
        </w:trPr>
        <w:tc>
          <w:tcPr>
            <w:tcW w:w="2977" w:type="dxa"/>
          </w:tcPr>
          <w:p w14:paraId="36954D92" w14:textId="77777777" w:rsidR="00196122" w:rsidRDefault="00196122" w:rsidP="00F02DA4">
            <w:pPr>
              <w:pStyle w:val="TableParagraph"/>
              <w:spacing w:before="26"/>
              <w:rPr>
                <w:sz w:val="20"/>
              </w:rPr>
            </w:pPr>
            <w:r>
              <w:rPr>
                <w:sz w:val="20"/>
              </w:rPr>
              <w:t>24.25 GHz</w:t>
            </w:r>
          </w:p>
        </w:tc>
        <w:tc>
          <w:tcPr>
            <w:tcW w:w="2977" w:type="dxa"/>
          </w:tcPr>
          <w:p w14:paraId="18CDAEDC" w14:textId="77777777" w:rsidR="00196122" w:rsidRDefault="00196122" w:rsidP="00F02DA4">
            <w:pPr>
              <w:pStyle w:val="TableParagraph"/>
              <w:spacing w:before="26"/>
              <w:ind w:left="79"/>
              <w:rPr>
                <w:sz w:val="20"/>
              </w:rPr>
            </w:pPr>
            <w:r>
              <w:rPr>
                <w:sz w:val="20"/>
              </w:rPr>
              <w:t>43.5 GHz</w:t>
            </w:r>
          </w:p>
        </w:tc>
        <w:tc>
          <w:tcPr>
            <w:tcW w:w="2693" w:type="dxa"/>
            <w:vAlign w:val="center"/>
          </w:tcPr>
          <w:p w14:paraId="25B9F914" w14:textId="77777777" w:rsidR="00196122" w:rsidRPr="00196122" w:rsidRDefault="00196122" w:rsidP="00196122">
            <w:pPr>
              <w:pStyle w:val="REG-P0"/>
              <w:jc w:val="center"/>
              <w:rPr>
                <w:sz w:val="20"/>
              </w:rPr>
            </w:pPr>
            <w:r w:rsidRPr="00196122">
              <w:rPr>
                <w:sz w:val="20"/>
              </w:rPr>
              <w:t>0.75</w:t>
            </w:r>
          </w:p>
        </w:tc>
      </w:tr>
    </w:tbl>
    <w:p w14:paraId="78338968" w14:textId="5B7F0FEF" w:rsidR="00196122" w:rsidRDefault="00196122" w:rsidP="00196122">
      <w:pPr>
        <w:pStyle w:val="REG-P1"/>
      </w:pPr>
    </w:p>
    <w:p w14:paraId="658D1889" w14:textId="77777777" w:rsidR="002334DF" w:rsidRDefault="002334DF" w:rsidP="002334DF">
      <w:pPr>
        <w:autoSpaceDE w:val="0"/>
        <w:autoSpaceDN w:val="0"/>
        <w:adjustRightInd w:val="0"/>
        <w:spacing w:line="241" w:lineRule="atLeast"/>
        <w:ind w:left="720"/>
        <w:jc w:val="center"/>
        <w:rPr>
          <w:rFonts w:cs="Times New Roman"/>
          <w:b/>
          <w:bCs/>
          <w:noProof w:val="0"/>
          <w:color w:val="221E1F"/>
          <w:lang/>
        </w:rPr>
      </w:pPr>
      <w:r w:rsidRPr="00C346C5">
        <w:rPr>
          <w:rFonts w:cs="Times New Roman"/>
          <w:b/>
          <w:bCs/>
          <w:noProof w:val="0"/>
          <w:color w:val="221E1F"/>
          <w:lang/>
        </w:rPr>
        <w:t xml:space="preserve">TABLE 7 </w:t>
      </w:r>
    </w:p>
    <w:p w14:paraId="3BB10A3F" w14:textId="07CFB0F3" w:rsidR="002334DF" w:rsidRPr="002334DF" w:rsidRDefault="002334DF" w:rsidP="002334DF">
      <w:pPr>
        <w:pStyle w:val="REG-Amend"/>
      </w:pPr>
      <w:r>
        <w:t xml:space="preserve">[Table 7 is inserted by General Notice 738/2023, which directs </w:t>
      </w:r>
      <w:r w:rsidRPr="002334DF">
        <w:t>“</w:t>
      </w:r>
      <w:r w:rsidRPr="002334DF">
        <w:rPr>
          <w:lang/>
        </w:rPr>
        <w:t>the insertion of Table 7 for sub-regulation 4</w:t>
      </w:r>
      <w:r w:rsidRPr="002334DF">
        <w:rPr>
          <w:lang w:val="en-US"/>
        </w:rPr>
        <w:t>”</w:t>
      </w:r>
      <w:r>
        <w:rPr>
          <w:lang w:val="en-US"/>
        </w:rPr>
        <w:t>. However, sub</w:t>
      </w:r>
      <w:r w:rsidRPr="002334DF">
        <w:rPr>
          <w:lang w:val="en-US"/>
        </w:rPr>
        <w:t xml:space="preserve">regulation </w:t>
      </w:r>
      <w:r>
        <w:rPr>
          <w:lang w:val="en-US"/>
        </w:rPr>
        <w:t>(</w:t>
      </w:r>
      <w:r w:rsidRPr="002334DF">
        <w:rPr>
          <w:lang w:val="en-US"/>
        </w:rPr>
        <w:t>4</w:t>
      </w:r>
      <w:r>
        <w:rPr>
          <w:lang w:val="en-US"/>
        </w:rPr>
        <w:t>)</w:t>
      </w:r>
      <w:r w:rsidRPr="002334DF">
        <w:rPr>
          <w:lang w:val="en-US"/>
        </w:rPr>
        <w:t xml:space="preserve"> contains </w:t>
      </w:r>
      <w:r w:rsidR="004C5F3D">
        <w:rPr>
          <w:lang w:val="en-US"/>
        </w:rPr>
        <w:t xml:space="preserve">Table 2 and </w:t>
      </w:r>
      <w:r w:rsidRPr="002334DF">
        <w:rPr>
          <w:lang w:val="en-US"/>
        </w:rPr>
        <w:t>Table 3</w:t>
      </w:r>
      <w:r>
        <w:rPr>
          <w:lang w:val="en-US"/>
        </w:rPr>
        <w:t>,</w:t>
      </w:r>
      <w:r w:rsidRPr="002334DF">
        <w:rPr>
          <w:lang w:val="en-US"/>
        </w:rPr>
        <w:t xml:space="preserve"> which is substituted by the same General Notice. Table 7 has be</w:t>
      </w:r>
      <w:r w:rsidRPr="002334DF">
        <w:t>en in</w:t>
      </w:r>
      <w:r>
        <w:t xml:space="preserve">serted </w:t>
      </w:r>
      <w:r w:rsidR="009C056F">
        <w:t xml:space="preserve">at the end of subregulation (4), since it concerns </w:t>
      </w:r>
      <w:r w:rsidR="009C056F">
        <w:rPr>
          <w:bCs/>
          <w:lang/>
        </w:rPr>
        <w:t>FREQUENCY BAND FACTOR (FBF)</w:t>
      </w:r>
      <w:r w:rsidR="009C056F">
        <w:rPr>
          <w:bCs/>
          <w:lang w:val="en-ZA"/>
        </w:rPr>
        <w:t xml:space="preserve"> like Tables </w:t>
      </w:r>
      <w:r w:rsidR="004C5F3D">
        <w:rPr>
          <w:bCs/>
          <w:lang w:val="en-ZA"/>
        </w:rPr>
        <w:t>2</w:t>
      </w:r>
      <w:r w:rsidR="009C056F">
        <w:rPr>
          <w:bCs/>
          <w:lang w:val="en-ZA"/>
        </w:rPr>
        <w:t>-</w:t>
      </w:r>
      <w:r w:rsidR="004C5F3D">
        <w:rPr>
          <w:bCs/>
          <w:lang w:val="en-ZA"/>
        </w:rPr>
        <w:t>3</w:t>
      </w:r>
      <w:r w:rsidR="009C056F">
        <w:rPr>
          <w:bCs/>
          <w:lang/>
        </w:rPr>
        <w:t xml:space="preserve">, even though this </w:t>
      </w:r>
      <w:r w:rsidR="009C056F">
        <w:rPr>
          <w:bCs/>
          <w:lang w:val="en-ZA"/>
        </w:rPr>
        <w:t xml:space="preserve">placement </w:t>
      </w:r>
      <w:r w:rsidR="009C056F">
        <w:rPr>
          <w:bCs/>
          <w:lang w:val="en-ZA"/>
        </w:rPr>
        <w:br/>
        <w:t xml:space="preserve">is not </w:t>
      </w:r>
      <w:r w:rsidRPr="002334DF">
        <w:t xml:space="preserve">in chronological order </w:t>
      </w:r>
      <w:r w:rsidR="009C056F">
        <w:t xml:space="preserve">with respect to the </w:t>
      </w:r>
      <w:r w:rsidR="004C5F3D">
        <w:t>other t</w:t>
      </w:r>
      <w:r w:rsidRPr="002334DF">
        <w:t>ables.]</w:t>
      </w:r>
    </w:p>
    <w:p w14:paraId="4897F924" w14:textId="77777777" w:rsidR="002334DF" w:rsidRPr="00C346C5" w:rsidRDefault="002334DF" w:rsidP="002334DF">
      <w:pPr>
        <w:autoSpaceDE w:val="0"/>
        <w:autoSpaceDN w:val="0"/>
        <w:adjustRightInd w:val="0"/>
        <w:spacing w:line="241" w:lineRule="atLeast"/>
        <w:ind w:left="720"/>
        <w:jc w:val="center"/>
        <w:rPr>
          <w:rFonts w:cs="Times New Roman"/>
          <w:noProof w:val="0"/>
          <w:color w:val="221E1F"/>
          <w:lang/>
        </w:rPr>
      </w:pPr>
      <w:r w:rsidRPr="00C346C5">
        <w:rPr>
          <w:rFonts w:cs="Times New Roman"/>
          <w:b/>
          <w:bCs/>
          <w:noProof w:val="0"/>
          <w:color w:val="221E1F"/>
          <w:lang/>
        </w:rPr>
        <w:t xml:space="preserve">FREQUENCY BAND FACTOR (FBF): </w:t>
      </w:r>
    </w:p>
    <w:p w14:paraId="093DAEFA" w14:textId="229A8141" w:rsidR="002334DF" w:rsidRDefault="002334DF" w:rsidP="002334DF">
      <w:pPr>
        <w:autoSpaceDE w:val="0"/>
        <w:autoSpaceDN w:val="0"/>
        <w:adjustRightInd w:val="0"/>
        <w:spacing w:line="241" w:lineRule="atLeast"/>
        <w:ind w:left="720"/>
        <w:jc w:val="center"/>
        <w:rPr>
          <w:rFonts w:cs="Times New Roman"/>
          <w:b/>
          <w:bCs/>
          <w:noProof w:val="0"/>
          <w:color w:val="221E1F"/>
          <w:lang/>
        </w:rPr>
      </w:pPr>
      <w:r w:rsidRPr="00C346C5">
        <w:rPr>
          <w:rFonts w:cs="Times New Roman"/>
          <w:b/>
          <w:bCs/>
          <w:noProof w:val="0"/>
          <w:color w:val="221E1F"/>
          <w:lang/>
        </w:rPr>
        <w:t>FIXED AND MOBILE SATELLITE SERVICES</w:t>
      </w:r>
    </w:p>
    <w:p w14:paraId="1E6E5895" w14:textId="77777777" w:rsidR="002334DF" w:rsidRPr="00C346C5" w:rsidRDefault="002334DF" w:rsidP="009C056F">
      <w:pPr>
        <w:autoSpaceDE w:val="0"/>
        <w:autoSpaceDN w:val="0"/>
        <w:adjustRightInd w:val="0"/>
        <w:spacing w:line="241" w:lineRule="atLeast"/>
        <w:rPr>
          <w:rFonts w:cs="Times New Roman"/>
          <w:noProof w:val="0"/>
          <w:color w:val="221E1F"/>
          <w:lang/>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2977"/>
      </w:tblGrid>
      <w:tr w:rsidR="005D6FD6" w14:paraId="17A5E497" w14:textId="77777777" w:rsidTr="00F02DA4">
        <w:trPr>
          <w:trHeight w:val="288"/>
        </w:trPr>
        <w:tc>
          <w:tcPr>
            <w:tcW w:w="5812" w:type="dxa"/>
          </w:tcPr>
          <w:p w14:paraId="01321370" w14:textId="487EBA37" w:rsidR="005D6FD6" w:rsidRPr="005D6FD6" w:rsidRDefault="005D6FD6" w:rsidP="005D6FD6">
            <w:pPr>
              <w:pStyle w:val="Pa1"/>
              <w:jc w:val="center"/>
              <w:rPr>
                <w:color w:val="221E1F"/>
                <w:sz w:val="20"/>
                <w:szCs w:val="20"/>
              </w:rPr>
            </w:pPr>
            <w:r>
              <w:rPr>
                <w:rStyle w:val="A6"/>
              </w:rPr>
              <w:t>Frequency Range</w:t>
            </w:r>
          </w:p>
        </w:tc>
        <w:tc>
          <w:tcPr>
            <w:tcW w:w="2977" w:type="dxa"/>
            <w:vAlign w:val="center"/>
          </w:tcPr>
          <w:p w14:paraId="79205167" w14:textId="66382440" w:rsidR="005D6FD6" w:rsidRDefault="005D6FD6" w:rsidP="005D6FD6">
            <w:pPr>
              <w:pStyle w:val="TableParagraph"/>
              <w:spacing w:before="27"/>
              <w:jc w:val="center"/>
              <w:rPr>
                <w:sz w:val="20"/>
              </w:rPr>
            </w:pPr>
            <w:r w:rsidRPr="00196122">
              <w:rPr>
                <w:sz w:val="20"/>
              </w:rPr>
              <w:t>FBF</w:t>
            </w:r>
          </w:p>
        </w:tc>
      </w:tr>
      <w:tr w:rsidR="005D6FD6" w14:paraId="3CC535AE" w14:textId="77777777" w:rsidTr="004C5F3D">
        <w:trPr>
          <w:trHeight w:val="255"/>
        </w:trPr>
        <w:tc>
          <w:tcPr>
            <w:tcW w:w="5812" w:type="dxa"/>
            <w:vAlign w:val="center"/>
          </w:tcPr>
          <w:p w14:paraId="523F397D" w14:textId="52F669F1" w:rsidR="005D6FD6" w:rsidRPr="005D6FD6" w:rsidRDefault="005D6FD6" w:rsidP="005D6FD6">
            <w:pPr>
              <w:pStyle w:val="Pa12"/>
              <w:rPr>
                <w:color w:val="221E1F"/>
                <w:sz w:val="20"/>
                <w:szCs w:val="20"/>
              </w:rPr>
            </w:pPr>
            <w:r>
              <w:rPr>
                <w:rStyle w:val="A6"/>
              </w:rPr>
              <w:t>All fixed and mobile satellite spectrum bands</w:t>
            </w:r>
          </w:p>
        </w:tc>
        <w:tc>
          <w:tcPr>
            <w:tcW w:w="2977" w:type="dxa"/>
            <w:vAlign w:val="center"/>
          </w:tcPr>
          <w:p w14:paraId="5E8D58EF" w14:textId="54F2FB37" w:rsidR="005D6FD6" w:rsidRPr="005D6FD6" w:rsidRDefault="005D6FD6" w:rsidP="005D6FD6">
            <w:pPr>
              <w:pStyle w:val="TableParagraph"/>
              <w:spacing w:before="27"/>
              <w:jc w:val="center"/>
              <w:rPr>
                <w:sz w:val="20"/>
                <w:szCs w:val="20"/>
              </w:rPr>
            </w:pPr>
            <w:r w:rsidRPr="005D6FD6">
              <w:rPr>
                <w:sz w:val="20"/>
                <w:szCs w:val="20"/>
              </w:rPr>
              <w:t>0.25</w:t>
            </w:r>
          </w:p>
        </w:tc>
      </w:tr>
    </w:tbl>
    <w:p w14:paraId="34933C3C" w14:textId="4CD9B970" w:rsidR="002334DF" w:rsidRDefault="002334DF" w:rsidP="00196122">
      <w:pPr>
        <w:pStyle w:val="REG-P1"/>
      </w:pPr>
    </w:p>
    <w:p w14:paraId="1F7C88BB" w14:textId="21CEEEAA" w:rsidR="00346BB9" w:rsidRPr="000E432E" w:rsidRDefault="00346BB9" w:rsidP="00196122">
      <w:pPr>
        <w:pStyle w:val="REG-P1"/>
      </w:pPr>
      <w:r w:rsidRPr="000E432E">
        <w:t xml:space="preserve">(5) </w:t>
      </w:r>
      <w:r w:rsidRPr="000E432E">
        <w:tab/>
        <w:t>CF is as set out in Table 4 below:</w:t>
      </w:r>
    </w:p>
    <w:p w14:paraId="7829AE06" w14:textId="77777777" w:rsidR="00346BB9" w:rsidRPr="000E432E" w:rsidRDefault="00346BB9" w:rsidP="000E432E">
      <w:pPr>
        <w:pStyle w:val="REG-P1"/>
      </w:pPr>
    </w:p>
    <w:p w14:paraId="07961E31" w14:textId="66B9922D" w:rsidR="00346BB9" w:rsidRPr="0046422C"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TABLE 4</w:t>
      </w:r>
    </w:p>
    <w:p w14:paraId="0777E19A" w14:textId="0A2E7DAB" w:rsidR="00346BB9" w:rsidRDefault="00346BB9" w:rsidP="00346BB9">
      <w:pPr>
        <w:autoSpaceDE w:val="0"/>
        <w:autoSpaceDN w:val="0"/>
        <w:adjustRightInd w:val="0"/>
        <w:jc w:val="center"/>
        <w:rPr>
          <w:rFonts w:ascii="TimesNewRomanPS-BoldMT" w:hAnsi="TimesNewRomanPS-BoldMT" w:cs="TimesNewRomanPS-BoldMT"/>
          <w:b/>
          <w:bCs/>
          <w:noProof w:val="0"/>
          <w:lang w:val="en-ZA"/>
        </w:rPr>
      </w:pPr>
      <w:r w:rsidRPr="0046422C">
        <w:rPr>
          <w:rFonts w:ascii="TimesNewRomanPS-BoldMT" w:hAnsi="TimesNewRomanPS-BoldMT" w:cs="TimesNewRomanPS-BoldMT"/>
          <w:b/>
          <w:bCs/>
          <w:noProof w:val="0"/>
          <w:lang w:val="en-ZA"/>
        </w:rPr>
        <w:t>COVERAGE FACTOR (CF)</w:t>
      </w:r>
    </w:p>
    <w:p w14:paraId="789592E5" w14:textId="77777777" w:rsidR="000E432E" w:rsidRDefault="000E432E" w:rsidP="00B15669">
      <w:pPr>
        <w:pStyle w:val="REG-P0"/>
        <w:rPr>
          <w:lang w:val="en-ZA"/>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1755"/>
        <w:gridCol w:w="1755"/>
        <w:gridCol w:w="1755"/>
        <w:gridCol w:w="1911"/>
      </w:tblGrid>
      <w:tr w:rsidR="0046422C" w14:paraId="54CA2DEA" w14:textId="77777777" w:rsidTr="00C87657">
        <w:trPr>
          <w:trHeight w:val="288"/>
        </w:trPr>
        <w:tc>
          <w:tcPr>
            <w:tcW w:w="1755" w:type="dxa"/>
          </w:tcPr>
          <w:p w14:paraId="66534065" w14:textId="77777777" w:rsidR="0046422C" w:rsidRDefault="0046422C" w:rsidP="00B949DA">
            <w:pPr>
              <w:pStyle w:val="TableParagraph"/>
              <w:rPr>
                <w:sz w:val="20"/>
              </w:rPr>
            </w:pPr>
          </w:p>
        </w:tc>
        <w:tc>
          <w:tcPr>
            <w:tcW w:w="1755" w:type="dxa"/>
          </w:tcPr>
          <w:p w14:paraId="22DA54BC" w14:textId="77777777" w:rsidR="0046422C" w:rsidRDefault="0046422C" w:rsidP="00B949DA">
            <w:pPr>
              <w:pStyle w:val="TableParagraph"/>
              <w:spacing w:before="27"/>
              <w:rPr>
                <w:sz w:val="20"/>
              </w:rPr>
            </w:pPr>
            <w:r>
              <w:rPr>
                <w:sz w:val="20"/>
              </w:rPr>
              <w:t>CF = 1</w:t>
            </w:r>
          </w:p>
        </w:tc>
        <w:tc>
          <w:tcPr>
            <w:tcW w:w="1755" w:type="dxa"/>
          </w:tcPr>
          <w:p w14:paraId="2CF1754F" w14:textId="77777777" w:rsidR="0046422C" w:rsidRDefault="0046422C" w:rsidP="00B949DA">
            <w:pPr>
              <w:pStyle w:val="TableParagraph"/>
              <w:spacing w:before="27"/>
              <w:rPr>
                <w:sz w:val="20"/>
              </w:rPr>
            </w:pPr>
            <w:r>
              <w:rPr>
                <w:sz w:val="20"/>
              </w:rPr>
              <w:t>CF = 2</w:t>
            </w:r>
          </w:p>
        </w:tc>
        <w:tc>
          <w:tcPr>
            <w:tcW w:w="1755" w:type="dxa"/>
          </w:tcPr>
          <w:p w14:paraId="462E1657" w14:textId="77777777" w:rsidR="0046422C" w:rsidRDefault="0046422C" w:rsidP="00B949DA">
            <w:pPr>
              <w:pStyle w:val="TableParagraph"/>
              <w:spacing w:before="27"/>
              <w:ind w:left="81"/>
              <w:rPr>
                <w:sz w:val="20"/>
              </w:rPr>
            </w:pPr>
            <w:r>
              <w:rPr>
                <w:sz w:val="20"/>
              </w:rPr>
              <w:t>CF = 3</w:t>
            </w:r>
          </w:p>
        </w:tc>
        <w:tc>
          <w:tcPr>
            <w:tcW w:w="1911" w:type="dxa"/>
          </w:tcPr>
          <w:p w14:paraId="711BDBBF" w14:textId="77777777" w:rsidR="0046422C" w:rsidRDefault="0046422C" w:rsidP="00B949DA">
            <w:pPr>
              <w:pStyle w:val="TableParagraph"/>
              <w:spacing w:before="27"/>
              <w:ind w:left="81"/>
              <w:rPr>
                <w:sz w:val="20"/>
              </w:rPr>
            </w:pPr>
            <w:r>
              <w:rPr>
                <w:sz w:val="20"/>
              </w:rPr>
              <w:t>CF = 30</w:t>
            </w:r>
          </w:p>
        </w:tc>
      </w:tr>
      <w:tr w:rsidR="0046422C" w14:paraId="484A80EB" w14:textId="77777777" w:rsidTr="00C87657">
        <w:trPr>
          <w:trHeight w:val="748"/>
        </w:trPr>
        <w:tc>
          <w:tcPr>
            <w:tcW w:w="1755" w:type="dxa"/>
          </w:tcPr>
          <w:p w14:paraId="6B5049B0" w14:textId="77777777" w:rsidR="0046422C" w:rsidRDefault="0046422C" w:rsidP="00B949DA">
            <w:pPr>
              <w:pStyle w:val="TableParagraph"/>
              <w:spacing w:before="27"/>
              <w:ind w:left="79"/>
              <w:rPr>
                <w:sz w:val="20"/>
              </w:rPr>
            </w:pPr>
            <w:r>
              <w:rPr>
                <w:sz w:val="20"/>
              </w:rPr>
              <w:t>Coverage Area</w:t>
            </w:r>
          </w:p>
        </w:tc>
        <w:tc>
          <w:tcPr>
            <w:tcW w:w="1755" w:type="dxa"/>
          </w:tcPr>
          <w:p w14:paraId="0227E36C" w14:textId="77777777" w:rsidR="0046422C" w:rsidRDefault="0046422C" w:rsidP="00B949DA">
            <w:pPr>
              <w:pStyle w:val="TableParagraph"/>
              <w:spacing w:before="27"/>
              <w:rPr>
                <w:sz w:val="11"/>
              </w:rPr>
            </w:pPr>
            <w:r>
              <w:rPr>
                <w:sz w:val="20"/>
              </w:rPr>
              <w:t>Small Area Net- work A ≤ 5 km</w:t>
            </w:r>
            <w:r>
              <w:rPr>
                <w:position w:val="7"/>
                <w:sz w:val="11"/>
              </w:rPr>
              <w:t>2</w:t>
            </w:r>
          </w:p>
        </w:tc>
        <w:tc>
          <w:tcPr>
            <w:tcW w:w="1755" w:type="dxa"/>
          </w:tcPr>
          <w:p w14:paraId="4F4C4AB9" w14:textId="77777777" w:rsidR="0046422C" w:rsidRDefault="0046422C" w:rsidP="00B949DA">
            <w:pPr>
              <w:pStyle w:val="TableParagraph"/>
              <w:spacing w:before="27"/>
              <w:ind w:right="228"/>
              <w:rPr>
                <w:sz w:val="11"/>
              </w:rPr>
            </w:pPr>
            <w:r>
              <w:rPr>
                <w:sz w:val="20"/>
              </w:rPr>
              <w:t>Large Area Net- work 5 km</w:t>
            </w:r>
            <w:r>
              <w:rPr>
                <w:position w:val="7"/>
                <w:sz w:val="11"/>
              </w:rPr>
              <w:t xml:space="preserve">2 </w:t>
            </w:r>
            <w:r>
              <w:rPr>
                <w:sz w:val="20"/>
              </w:rPr>
              <w:t>&lt; A ≤ 600 km</w:t>
            </w:r>
            <w:r>
              <w:rPr>
                <w:position w:val="7"/>
                <w:sz w:val="11"/>
              </w:rPr>
              <w:t>2</w:t>
            </w:r>
          </w:p>
        </w:tc>
        <w:tc>
          <w:tcPr>
            <w:tcW w:w="1755" w:type="dxa"/>
          </w:tcPr>
          <w:p w14:paraId="3CDB86A8" w14:textId="77777777" w:rsidR="0046422C" w:rsidRDefault="0046422C" w:rsidP="00B949DA">
            <w:pPr>
              <w:pStyle w:val="TableParagraph"/>
              <w:spacing w:before="27"/>
              <w:ind w:left="81"/>
              <w:rPr>
                <w:sz w:val="20"/>
              </w:rPr>
            </w:pPr>
            <w:r>
              <w:rPr>
                <w:sz w:val="20"/>
              </w:rPr>
              <w:t>Wide Area Net- work 600 km</w:t>
            </w:r>
            <w:r>
              <w:rPr>
                <w:position w:val="7"/>
                <w:sz w:val="11"/>
              </w:rPr>
              <w:t xml:space="preserve">2 </w:t>
            </w:r>
            <w:r>
              <w:rPr>
                <w:sz w:val="20"/>
              </w:rPr>
              <w:t>&lt; A</w:t>
            </w:r>
          </w:p>
          <w:p w14:paraId="4CC9B7A4" w14:textId="77777777" w:rsidR="0046422C" w:rsidRDefault="0046422C" w:rsidP="00B949DA">
            <w:pPr>
              <w:pStyle w:val="TableParagraph"/>
              <w:ind w:left="81"/>
              <w:rPr>
                <w:sz w:val="11"/>
              </w:rPr>
            </w:pPr>
            <w:r>
              <w:rPr>
                <w:sz w:val="20"/>
              </w:rPr>
              <w:t>≤ 105,300 km</w:t>
            </w:r>
            <w:r>
              <w:rPr>
                <w:position w:val="7"/>
                <w:sz w:val="11"/>
              </w:rPr>
              <w:t>2</w:t>
            </w:r>
          </w:p>
        </w:tc>
        <w:tc>
          <w:tcPr>
            <w:tcW w:w="1911" w:type="dxa"/>
          </w:tcPr>
          <w:p w14:paraId="7196FBE5" w14:textId="77777777" w:rsidR="0046422C" w:rsidRDefault="0046422C" w:rsidP="00B949DA">
            <w:pPr>
              <w:pStyle w:val="TableParagraph"/>
              <w:spacing w:before="27"/>
              <w:ind w:left="81"/>
              <w:rPr>
                <w:sz w:val="20"/>
              </w:rPr>
            </w:pPr>
            <w:r>
              <w:rPr>
                <w:sz w:val="20"/>
              </w:rPr>
              <w:t>National network</w:t>
            </w:r>
          </w:p>
        </w:tc>
      </w:tr>
    </w:tbl>
    <w:p w14:paraId="547D4F2C" w14:textId="77777777" w:rsidR="0046422C" w:rsidRDefault="0046422C" w:rsidP="00FC0A23">
      <w:pPr>
        <w:pStyle w:val="REG-P0"/>
        <w:rPr>
          <w:lang w:val="en-ZA"/>
        </w:rPr>
      </w:pPr>
    </w:p>
    <w:p w14:paraId="0F0F44EF" w14:textId="1BA08831" w:rsidR="00FC0A23" w:rsidRPr="00FC0A23" w:rsidRDefault="00FC0A23" w:rsidP="003F3FAB">
      <w:pPr>
        <w:pStyle w:val="REG-P0"/>
        <w:ind w:left="567"/>
        <w:rPr>
          <w:lang w:val="en-ZA"/>
        </w:rPr>
      </w:pPr>
      <w:r w:rsidRPr="00FC0A23">
        <w:rPr>
          <w:lang w:val="en-ZA"/>
        </w:rPr>
        <w:t xml:space="preserve">(6) </w:t>
      </w:r>
      <w:r w:rsidR="000E432E">
        <w:rPr>
          <w:lang w:val="en-ZA"/>
        </w:rPr>
        <w:tab/>
      </w:r>
      <w:r w:rsidRPr="00FC0A23">
        <w:rPr>
          <w:lang w:val="en-ZA"/>
        </w:rPr>
        <w:t>SHRF is as set out in Table 5 below:</w:t>
      </w:r>
    </w:p>
    <w:p w14:paraId="093A82F7" w14:textId="77777777" w:rsidR="00FC0A23" w:rsidRDefault="00FC0A23" w:rsidP="00FC0A23">
      <w:pPr>
        <w:pStyle w:val="REG-P0"/>
        <w:rPr>
          <w:b/>
          <w:bCs/>
          <w:lang w:val="en-ZA"/>
        </w:rPr>
      </w:pPr>
    </w:p>
    <w:p w14:paraId="57D43FA4" w14:textId="79DF5E88" w:rsidR="00FC0A23" w:rsidRPr="003F3FAB" w:rsidRDefault="00FC0A23" w:rsidP="00FC0A23">
      <w:pPr>
        <w:pStyle w:val="REG-P0"/>
        <w:jc w:val="center"/>
        <w:rPr>
          <w:b/>
          <w:bCs/>
          <w:lang w:val="en-ZA"/>
        </w:rPr>
      </w:pPr>
      <w:r w:rsidRPr="003F3FAB">
        <w:rPr>
          <w:b/>
          <w:bCs/>
          <w:lang w:val="en-ZA"/>
        </w:rPr>
        <w:t>TABLE 5</w:t>
      </w:r>
    </w:p>
    <w:p w14:paraId="049A66F9" w14:textId="40D9655F" w:rsidR="00FC0A23" w:rsidRDefault="00FC0A23" w:rsidP="00FC0A23">
      <w:pPr>
        <w:pStyle w:val="REG-P0"/>
        <w:jc w:val="center"/>
        <w:rPr>
          <w:b/>
          <w:bCs/>
          <w:lang w:val="en-ZA"/>
        </w:rPr>
      </w:pPr>
      <w:r w:rsidRPr="003F3FAB">
        <w:rPr>
          <w:b/>
          <w:bCs/>
          <w:lang w:val="en-ZA"/>
        </w:rPr>
        <w:t>SHARING FACTOR (SHRF)</w:t>
      </w:r>
    </w:p>
    <w:p w14:paraId="52A3AB9E" w14:textId="77777777" w:rsidR="003F3FAB" w:rsidRDefault="003F3FAB" w:rsidP="00FC0A23">
      <w:pPr>
        <w:pStyle w:val="REG-P0"/>
        <w:jc w:val="center"/>
        <w:rPr>
          <w:b/>
          <w:bCs/>
          <w:lang w:val="en-Z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4"/>
        <w:gridCol w:w="516"/>
      </w:tblGrid>
      <w:tr w:rsidR="003F3FAB" w14:paraId="5044C007" w14:textId="77777777" w:rsidTr="00C87657">
        <w:trPr>
          <w:trHeight w:val="288"/>
        </w:trPr>
        <w:tc>
          <w:tcPr>
            <w:tcW w:w="3874" w:type="dxa"/>
          </w:tcPr>
          <w:p w14:paraId="33895CC7" w14:textId="77777777" w:rsidR="003F3FAB" w:rsidRDefault="003F3FAB" w:rsidP="00B949DA">
            <w:pPr>
              <w:pStyle w:val="TableParagraph"/>
              <w:spacing w:before="27"/>
              <w:rPr>
                <w:sz w:val="20"/>
              </w:rPr>
            </w:pPr>
            <w:r>
              <w:rPr>
                <w:sz w:val="20"/>
              </w:rPr>
              <w:t>Exclusive Use</w:t>
            </w:r>
          </w:p>
        </w:tc>
        <w:tc>
          <w:tcPr>
            <w:tcW w:w="516" w:type="dxa"/>
          </w:tcPr>
          <w:p w14:paraId="37B906C0" w14:textId="77777777" w:rsidR="003F3FAB" w:rsidRDefault="003F3FAB" w:rsidP="00B949DA">
            <w:pPr>
              <w:pStyle w:val="TableParagraph"/>
              <w:spacing w:before="27"/>
              <w:rPr>
                <w:sz w:val="20"/>
              </w:rPr>
            </w:pPr>
            <w:r>
              <w:rPr>
                <w:sz w:val="20"/>
              </w:rPr>
              <w:t>1</w:t>
            </w:r>
          </w:p>
        </w:tc>
      </w:tr>
      <w:tr w:rsidR="003F3FAB" w14:paraId="5AA382D9" w14:textId="77777777" w:rsidTr="00C87657">
        <w:trPr>
          <w:trHeight w:val="288"/>
        </w:trPr>
        <w:tc>
          <w:tcPr>
            <w:tcW w:w="3874" w:type="dxa"/>
          </w:tcPr>
          <w:p w14:paraId="7887A2EF" w14:textId="77777777" w:rsidR="003F3FAB" w:rsidRDefault="003F3FAB" w:rsidP="00B949DA">
            <w:pPr>
              <w:pStyle w:val="TableParagraph"/>
              <w:spacing w:before="27"/>
              <w:rPr>
                <w:sz w:val="20"/>
              </w:rPr>
            </w:pPr>
            <w:r>
              <w:rPr>
                <w:sz w:val="20"/>
              </w:rPr>
              <w:t>Shared</w:t>
            </w:r>
          </w:p>
        </w:tc>
        <w:tc>
          <w:tcPr>
            <w:tcW w:w="516" w:type="dxa"/>
          </w:tcPr>
          <w:p w14:paraId="0682953A" w14:textId="77777777" w:rsidR="003F3FAB" w:rsidRDefault="003F3FAB" w:rsidP="00B949DA">
            <w:pPr>
              <w:pStyle w:val="TableParagraph"/>
              <w:spacing w:before="27"/>
              <w:rPr>
                <w:sz w:val="20"/>
              </w:rPr>
            </w:pPr>
            <w:r>
              <w:rPr>
                <w:sz w:val="20"/>
              </w:rPr>
              <w:t>0.5</w:t>
            </w:r>
          </w:p>
        </w:tc>
      </w:tr>
    </w:tbl>
    <w:p w14:paraId="6F12D5E2" w14:textId="77777777" w:rsidR="00FC0A23" w:rsidRPr="00FC0A23" w:rsidRDefault="00FC0A23" w:rsidP="00FC0A23">
      <w:pPr>
        <w:pStyle w:val="REG-P0"/>
        <w:jc w:val="center"/>
        <w:rPr>
          <w:b/>
          <w:bCs/>
          <w:lang w:val="en-ZA"/>
        </w:rPr>
      </w:pPr>
    </w:p>
    <w:p w14:paraId="28EFB2B9" w14:textId="12D1BE77" w:rsidR="00FC0A23" w:rsidRPr="00FC0A23" w:rsidRDefault="00FC0A23" w:rsidP="003F3FAB">
      <w:pPr>
        <w:pStyle w:val="REG-P0"/>
        <w:ind w:left="567"/>
        <w:rPr>
          <w:lang w:val="en-ZA"/>
        </w:rPr>
      </w:pPr>
      <w:r w:rsidRPr="00FC0A23">
        <w:rPr>
          <w:lang w:val="en-ZA"/>
        </w:rPr>
        <w:t xml:space="preserve">(7) </w:t>
      </w:r>
      <w:r w:rsidR="000E432E">
        <w:rPr>
          <w:lang w:val="en-ZA"/>
        </w:rPr>
        <w:tab/>
      </w:r>
      <w:r w:rsidRPr="00FC0A23">
        <w:rPr>
          <w:lang w:val="en-ZA"/>
        </w:rPr>
        <w:t>GEOF is as set out in Table 6 below:</w:t>
      </w:r>
    </w:p>
    <w:p w14:paraId="0C9E5179" w14:textId="77777777" w:rsidR="00FC0A23" w:rsidRDefault="00FC0A23" w:rsidP="00FC0A23">
      <w:pPr>
        <w:pStyle w:val="REG-P0"/>
        <w:rPr>
          <w:b/>
          <w:bCs/>
          <w:lang w:val="en-ZA"/>
        </w:rPr>
      </w:pPr>
    </w:p>
    <w:p w14:paraId="0EA83D20" w14:textId="3D6FFF34" w:rsidR="00FC0A23" w:rsidRPr="003F3FAB" w:rsidRDefault="00FC0A23" w:rsidP="00FC0A23">
      <w:pPr>
        <w:pStyle w:val="REG-P0"/>
        <w:jc w:val="center"/>
        <w:rPr>
          <w:b/>
          <w:bCs/>
          <w:lang w:val="en-ZA"/>
        </w:rPr>
      </w:pPr>
      <w:r w:rsidRPr="003F3FAB">
        <w:rPr>
          <w:b/>
          <w:bCs/>
          <w:lang w:val="en-ZA"/>
        </w:rPr>
        <w:t>TABLE 6</w:t>
      </w:r>
    </w:p>
    <w:p w14:paraId="673DA6E6" w14:textId="77777777" w:rsidR="00FC0A23" w:rsidRDefault="00FC0A23" w:rsidP="00FC0A23">
      <w:pPr>
        <w:pStyle w:val="REG-P0"/>
        <w:jc w:val="center"/>
        <w:rPr>
          <w:b/>
          <w:bCs/>
          <w:lang w:val="en-ZA"/>
        </w:rPr>
      </w:pPr>
      <w:r w:rsidRPr="003F3FAB">
        <w:rPr>
          <w:b/>
          <w:bCs/>
          <w:lang w:val="en-ZA"/>
        </w:rPr>
        <w:t>GEOGRAPHICAL FACTOR (GEOF)</w:t>
      </w:r>
    </w:p>
    <w:p w14:paraId="2A0BCC1E" w14:textId="77777777" w:rsidR="003F3FAB" w:rsidRDefault="003F3FAB" w:rsidP="00FC0A23">
      <w:pPr>
        <w:pStyle w:val="REG-P0"/>
        <w:jc w:val="center"/>
        <w:rPr>
          <w:b/>
          <w:bCs/>
          <w:lang w:val="en-Z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4"/>
        <w:gridCol w:w="516"/>
      </w:tblGrid>
      <w:tr w:rsidR="003F3FAB" w14:paraId="4D4720BB" w14:textId="77777777" w:rsidTr="00C87657">
        <w:trPr>
          <w:trHeight w:val="288"/>
        </w:trPr>
        <w:tc>
          <w:tcPr>
            <w:tcW w:w="3874" w:type="dxa"/>
          </w:tcPr>
          <w:p w14:paraId="6EECB945" w14:textId="77777777" w:rsidR="003F3FAB" w:rsidRDefault="003F3FAB" w:rsidP="00C87657">
            <w:pPr>
              <w:pStyle w:val="TableParagraph"/>
              <w:spacing w:before="27"/>
              <w:rPr>
                <w:sz w:val="20"/>
              </w:rPr>
            </w:pPr>
            <w:r>
              <w:rPr>
                <w:sz w:val="20"/>
              </w:rPr>
              <w:t>High density of population</w:t>
            </w:r>
          </w:p>
        </w:tc>
        <w:tc>
          <w:tcPr>
            <w:tcW w:w="516" w:type="dxa"/>
          </w:tcPr>
          <w:p w14:paraId="0A8C8E98" w14:textId="77777777" w:rsidR="003F3FAB" w:rsidRDefault="003F3FAB" w:rsidP="00B949DA">
            <w:pPr>
              <w:pStyle w:val="TableParagraph"/>
              <w:spacing w:before="27"/>
              <w:rPr>
                <w:sz w:val="20"/>
              </w:rPr>
            </w:pPr>
            <w:r>
              <w:rPr>
                <w:sz w:val="20"/>
              </w:rPr>
              <w:t>1</w:t>
            </w:r>
          </w:p>
        </w:tc>
      </w:tr>
      <w:tr w:rsidR="003F3FAB" w14:paraId="3A1CAA78" w14:textId="77777777" w:rsidTr="00C87657">
        <w:trPr>
          <w:trHeight w:val="288"/>
        </w:trPr>
        <w:tc>
          <w:tcPr>
            <w:tcW w:w="3874" w:type="dxa"/>
          </w:tcPr>
          <w:p w14:paraId="3CBF72A9" w14:textId="77777777" w:rsidR="003F3FAB" w:rsidRDefault="003F3FAB" w:rsidP="00B949DA">
            <w:pPr>
              <w:pStyle w:val="TableParagraph"/>
              <w:spacing w:before="27"/>
              <w:rPr>
                <w:sz w:val="20"/>
              </w:rPr>
            </w:pPr>
            <w:r>
              <w:rPr>
                <w:sz w:val="20"/>
              </w:rPr>
              <w:t>Low density of population</w:t>
            </w:r>
          </w:p>
        </w:tc>
        <w:tc>
          <w:tcPr>
            <w:tcW w:w="516" w:type="dxa"/>
          </w:tcPr>
          <w:p w14:paraId="179E973D" w14:textId="77777777" w:rsidR="003F3FAB" w:rsidRDefault="003F3FAB" w:rsidP="00B949DA">
            <w:pPr>
              <w:pStyle w:val="TableParagraph"/>
              <w:spacing w:before="27"/>
              <w:rPr>
                <w:sz w:val="20"/>
              </w:rPr>
            </w:pPr>
            <w:r>
              <w:rPr>
                <w:sz w:val="20"/>
              </w:rPr>
              <w:t>0.5</w:t>
            </w:r>
          </w:p>
        </w:tc>
      </w:tr>
      <w:tr w:rsidR="003F3FAB" w14:paraId="5D26EAAE" w14:textId="77777777" w:rsidTr="00C87657">
        <w:trPr>
          <w:trHeight w:val="288"/>
        </w:trPr>
        <w:tc>
          <w:tcPr>
            <w:tcW w:w="3874" w:type="dxa"/>
          </w:tcPr>
          <w:p w14:paraId="78C496FB" w14:textId="77777777" w:rsidR="003F3FAB" w:rsidRDefault="003F3FAB" w:rsidP="00B949DA">
            <w:pPr>
              <w:pStyle w:val="TableParagraph"/>
              <w:spacing w:before="27"/>
              <w:rPr>
                <w:sz w:val="20"/>
              </w:rPr>
            </w:pPr>
            <w:r>
              <w:rPr>
                <w:sz w:val="20"/>
              </w:rPr>
              <w:t>Mixed high/low density of population</w:t>
            </w:r>
          </w:p>
        </w:tc>
        <w:tc>
          <w:tcPr>
            <w:tcW w:w="516" w:type="dxa"/>
          </w:tcPr>
          <w:p w14:paraId="28E10FC6" w14:textId="77777777" w:rsidR="003F3FAB" w:rsidRDefault="003F3FAB" w:rsidP="00B949DA">
            <w:pPr>
              <w:pStyle w:val="TableParagraph"/>
              <w:spacing w:before="27"/>
              <w:rPr>
                <w:sz w:val="20"/>
              </w:rPr>
            </w:pPr>
            <w:r>
              <w:rPr>
                <w:sz w:val="20"/>
              </w:rPr>
              <w:t>1</w:t>
            </w:r>
          </w:p>
        </w:tc>
      </w:tr>
    </w:tbl>
    <w:p w14:paraId="5CFD6B40" w14:textId="3C28D1E7" w:rsidR="00FC0A23" w:rsidRDefault="00FC0A23" w:rsidP="00FC0A23">
      <w:pPr>
        <w:pStyle w:val="REG-P0"/>
        <w:rPr>
          <w:lang w:val="en-ZA"/>
        </w:rPr>
      </w:pPr>
    </w:p>
    <w:p w14:paraId="4EB12722" w14:textId="77777777" w:rsidR="002334DF" w:rsidRDefault="002334DF" w:rsidP="00FC0A23">
      <w:pPr>
        <w:pStyle w:val="REG-P0"/>
        <w:rPr>
          <w:lang w:val="en-ZA"/>
        </w:rPr>
      </w:pPr>
    </w:p>
    <w:p w14:paraId="5E2D63FB" w14:textId="651F5B02" w:rsidR="000E432E" w:rsidRDefault="003F3FAB" w:rsidP="003F3FAB">
      <w:pPr>
        <w:pStyle w:val="REG-Pa"/>
        <w:ind w:left="1137" w:hanging="570"/>
      </w:pPr>
      <w:r>
        <w:t>(8)</w:t>
      </w:r>
      <w:r>
        <w:tab/>
        <w:t>(a)</w:t>
      </w:r>
      <w:r>
        <w:tab/>
        <w:t>Unless radio frequency spectrum is conferred by means of a spectrum</w:t>
      </w:r>
      <w:r w:rsidR="00A012CE">
        <w:t xml:space="preserve"> </w:t>
      </w:r>
      <w:r>
        <w:t>auction in terms of Part 3 of the Regulations Pertaining to Spectrum Licenses, spectrum fees calculated in accordance with this regulation are payable annually in advance and in full, subject thereto that if a spectrum license is forfeited, lapses or is discontinued for whatever reason prior to its expiry in terms of those Regulations, the licensee concerned may be refunded such portion of the fees the licensee paid for any period during which it did not utilise radio frequency spectrum following such forfeiture, lapse, or discontinuance</w:t>
      </w:r>
    </w:p>
    <w:p w14:paraId="7D4185E4" w14:textId="77777777" w:rsidR="003F3FAB" w:rsidRDefault="003F3FAB" w:rsidP="003F3FAB">
      <w:pPr>
        <w:pStyle w:val="REG-Pa"/>
        <w:rPr>
          <w:lang w:val="en-ZA"/>
        </w:rPr>
      </w:pPr>
    </w:p>
    <w:p w14:paraId="3497BD1F" w14:textId="28E488BF" w:rsidR="00FC0A23" w:rsidRDefault="00FC0A23" w:rsidP="000E432E">
      <w:pPr>
        <w:pStyle w:val="REG-Pa"/>
        <w:rPr>
          <w:lang w:val="en-ZA"/>
        </w:rPr>
      </w:pPr>
      <w:r w:rsidRPr="00FC0A23">
        <w:rPr>
          <w:lang w:val="en-ZA"/>
        </w:rPr>
        <w:t>(b)</w:t>
      </w:r>
      <w:r w:rsidR="000E432E">
        <w:rPr>
          <w:lang w:val="en-ZA"/>
        </w:rPr>
        <w:tab/>
      </w:r>
      <w:r w:rsidRPr="00FC0A23">
        <w:rPr>
          <w:lang w:val="en-ZA"/>
        </w:rPr>
        <w:t xml:space="preserve"> For purposes of paragraph (a), a part of the month is regarded as a full month.</w:t>
      </w:r>
    </w:p>
    <w:p w14:paraId="67DD6466" w14:textId="47E4F2FE" w:rsidR="00F17377" w:rsidRDefault="00F17377" w:rsidP="00FC0A23">
      <w:pPr>
        <w:pStyle w:val="REG-P0"/>
        <w:rPr>
          <w:lang w:val="en-ZA"/>
        </w:rPr>
      </w:pPr>
    </w:p>
    <w:p w14:paraId="13F007B2" w14:textId="6F571B30" w:rsidR="00F17377" w:rsidRPr="000E432E" w:rsidRDefault="00386C07" w:rsidP="000E432E">
      <w:pPr>
        <w:pStyle w:val="REG-P0"/>
        <w:rPr>
          <w:b/>
        </w:rPr>
      </w:pPr>
      <w:r>
        <w:rPr>
          <w:b/>
        </w:rPr>
        <w:t>***</w:t>
      </w:r>
    </w:p>
    <w:p w14:paraId="31AB6812" w14:textId="77777777" w:rsidR="000E432E" w:rsidRDefault="000E432E" w:rsidP="000E432E">
      <w:pPr>
        <w:pStyle w:val="REG-P0"/>
      </w:pPr>
    </w:p>
    <w:p w14:paraId="2D5BFEF4" w14:textId="3FF54628" w:rsidR="00F17377" w:rsidRDefault="00F17377" w:rsidP="00386C07">
      <w:pPr>
        <w:pStyle w:val="REG-P1"/>
      </w:pPr>
      <w:r w:rsidRPr="000E432E">
        <w:rPr>
          <w:b/>
        </w:rPr>
        <w:t>6.</w:t>
      </w:r>
      <w:r w:rsidRPr="000E432E">
        <w:t xml:space="preserve"> </w:t>
      </w:r>
      <w:r w:rsidR="000E432E">
        <w:tab/>
      </w:r>
    </w:p>
    <w:p w14:paraId="3F914E63" w14:textId="68305926" w:rsidR="00386C07" w:rsidRDefault="00386C07" w:rsidP="00386C07">
      <w:pPr>
        <w:pStyle w:val="REG-P1"/>
      </w:pPr>
    </w:p>
    <w:p w14:paraId="00981AEE" w14:textId="627ED3DC" w:rsidR="00386C07" w:rsidRDefault="00386C07" w:rsidP="00386C07">
      <w:pPr>
        <w:pStyle w:val="REG-Amend"/>
      </w:pPr>
      <w:r>
        <w:t>[Regulation 6, which con</w:t>
      </w:r>
      <w:r w:rsidR="00A012CE">
        <w:t xml:space="preserve">tained </w:t>
      </w:r>
      <w:r>
        <w:t>transitional provisions, is deleted by General Notice 738/2023.]</w:t>
      </w:r>
    </w:p>
    <w:p w14:paraId="3DF0EE5D" w14:textId="77777777" w:rsidR="000E432E" w:rsidRPr="000E432E" w:rsidRDefault="000E432E" w:rsidP="000E432E">
      <w:pPr>
        <w:pStyle w:val="REG-P0"/>
      </w:pPr>
    </w:p>
    <w:p w14:paraId="3D50A205" w14:textId="77777777" w:rsidR="00F17377" w:rsidRPr="00221BC9" w:rsidRDefault="00F17377" w:rsidP="000E432E">
      <w:pPr>
        <w:pStyle w:val="REG-P0"/>
        <w:rPr>
          <w:b/>
        </w:rPr>
      </w:pPr>
      <w:r w:rsidRPr="00221BC9">
        <w:rPr>
          <w:b/>
        </w:rPr>
        <w:t>Commencement</w:t>
      </w:r>
    </w:p>
    <w:p w14:paraId="469B9800" w14:textId="77777777" w:rsidR="00221BC9" w:rsidRDefault="00221BC9" w:rsidP="000E432E">
      <w:pPr>
        <w:pStyle w:val="REG-P0"/>
      </w:pPr>
    </w:p>
    <w:p w14:paraId="354ACD98" w14:textId="65F9858C" w:rsidR="00F17377" w:rsidRPr="000E432E" w:rsidRDefault="00F17377" w:rsidP="00221BC9">
      <w:pPr>
        <w:pStyle w:val="REG-P1"/>
      </w:pPr>
      <w:r w:rsidRPr="00221BC9">
        <w:rPr>
          <w:b/>
        </w:rPr>
        <w:t>7.</w:t>
      </w:r>
      <w:r w:rsidRPr="000E432E">
        <w:t xml:space="preserve"> </w:t>
      </w:r>
      <w:r w:rsidR="00221BC9">
        <w:tab/>
      </w:r>
      <w:r w:rsidRPr="000E432E">
        <w:t>Subject to regulation 6(2) these regulations will become effective on 1 January 2021.</w:t>
      </w:r>
    </w:p>
    <w:p w14:paraId="32B9FE86" w14:textId="4598B4A1" w:rsidR="00F17377" w:rsidRDefault="00F17377" w:rsidP="00F17377">
      <w:pPr>
        <w:pStyle w:val="REG-P0"/>
        <w:rPr>
          <w:rFonts w:ascii="TimesNewRomanPSMT" w:hAnsi="TimesNewRomanPSMT" w:cs="TimesNewRomanPSMT"/>
          <w:noProof w:val="0"/>
          <w:lang w:val="en-ZA"/>
        </w:rPr>
      </w:pPr>
    </w:p>
    <w:p w14:paraId="0E566CB8" w14:textId="77777777" w:rsidR="00A012CE" w:rsidRDefault="00A012CE" w:rsidP="00F17377">
      <w:pPr>
        <w:pStyle w:val="REG-P0"/>
        <w:rPr>
          <w:rFonts w:ascii="TimesNewRomanPSMT" w:hAnsi="TimesNewRomanPSMT" w:cs="TimesNewRomanPSMT"/>
          <w:noProof w:val="0"/>
          <w:lang w:val="en-ZA"/>
        </w:rPr>
      </w:pPr>
    </w:p>
    <w:p w14:paraId="05EDA9EC" w14:textId="77777777" w:rsidR="00A012CE" w:rsidRDefault="00A012CE" w:rsidP="00E710B8">
      <w:pPr>
        <w:pStyle w:val="REG-Amend"/>
        <w:rPr>
          <w:rFonts w:ascii="TimesNewRomanPS-BoldMT" w:hAnsi="TimesNewRomanPS-BoldMT" w:cs="TimesNewRomanPS-BoldMT"/>
          <w:b w:val="0"/>
          <w:bCs/>
          <w:noProof w:val="0"/>
          <w:lang w:val="en-ZA"/>
        </w:rPr>
      </w:pPr>
    </w:p>
    <w:p w14:paraId="3EF84848" w14:textId="37C5F40E" w:rsidR="00E710B8" w:rsidRPr="00523476" w:rsidRDefault="00E710B8" w:rsidP="00E710B8">
      <w:pPr>
        <w:pStyle w:val="REG-Amend"/>
      </w:pPr>
      <w:r>
        <w:rPr>
          <w:rFonts w:ascii="TimesNewRomanPS-BoldMT" w:hAnsi="TimesNewRomanPS-BoldMT" w:cs="TimesNewRomanPS-BoldMT"/>
          <w:b w:val="0"/>
          <w:bCs/>
          <w:noProof w:val="0"/>
          <w:lang w:val="en-ZA"/>
        </w:rPr>
        <w:t>[</w:t>
      </w:r>
      <w:r w:rsidRPr="00523476">
        <w:t xml:space="preserve">The original General Notice 417/2020 contains an “ANNEXURE A” entitled </w:t>
      </w:r>
      <w:r>
        <w:br/>
      </w:r>
      <w:r w:rsidRPr="00523476">
        <w:t xml:space="preserve">“Reply comments in respect of public comments received on Government Gazette No. 7216, General Notice No. 187 published on 19 May 2020” </w:t>
      </w:r>
    </w:p>
    <w:p w14:paraId="55F9D9A2" w14:textId="77777777" w:rsidR="00E710B8" w:rsidRPr="00523476" w:rsidRDefault="00E710B8" w:rsidP="00E710B8">
      <w:pPr>
        <w:pStyle w:val="REG-Amend"/>
      </w:pPr>
    </w:p>
    <w:p w14:paraId="6D1EEFC5" w14:textId="2353162E" w:rsidR="00E710B8" w:rsidRDefault="00E710B8" w:rsidP="00E710B8">
      <w:pPr>
        <w:pStyle w:val="REG-Amend"/>
        <w:rPr>
          <w:rStyle w:val="REG-P0Char"/>
          <w:rFonts w:ascii="Arial" w:eastAsiaTheme="minorHAnsi" w:hAnsi="Arial" w:cs="Arial"/>
        </w:rPr>
      </w:pPr>
      <w:r w:rsidRPr="00523476">
        <w:t xml:space="preserve">General Notice 738/2023 contains an “ANNEXURE A” entitled </w:t>
      </w:r>
      <w:r>
        <w:br/>
      </w:r>
      <w:r w:rsidRPr="00523476">
        <w:t>“</w:t>
      </w:r>
      <w:r w:rsidRPr="00523476">
        <w:rPr>
          <w:rStyle w:val="REG-P0Char"/>
          <w:rFonts w:ascii="Arial" w:eastAsiaTheme="minorHAnsi" w:hAnsi="Arial" w:cs="Arial"/>
        </w:rPr>
        <w:t>Comments received in terms of the notice of intention to make Regulations prescribing Fees for Spectrum Licences, Certificates and Examinations in Government Gazette No. 8180, General Notice No. 494, dated 21 August 2023”</w:t>
      </w:r>
      <w:r w:rsidR="00A012CE">
        <w:rPr>
          <w:rStyle w:val="REG-P0Char"/>
          <w:rFonts w:ascii="Arial" w:eastAsiaTheme="minorHAnsi" w:hAnsi="Arial" w:cs="Arial"/>
        </w:rPr>
        <w:t xml:space="preserve"> as well as an </w:t>
      </w:r>
      <w:r w:rsidR="00A012CE" w:rsidRPr="00523476">
        <w:t xml:space="preserve">“ANNEXURE </w:t>
      </w:r>
      <w:r w:rsidR="00A012CE">
        <w:t>B</w:t>
      </w:r>
      <w:r w:rsidR="00A012CE" w:rsidRPr="00523476">
        <w:t>”</w:t>
      </w:r>
      <w:r w:rsidRPr="00523476">
        <w:rPr>
          <w:rStyle w:val="REG-P0Char"/>
          <w:rFonts w:ascii="Arial" w:eastAsiaTheme="minorHAnsi" w:hAnsi="Arial" w:cs="Arial"/>
        </w:rPr>
        <w:t xml:space="preserve">. </w:t>
      </w:r>
    </w:p>
    <w:p w14:paraId="56E14330" w14:textId="77777777" w:rsidR="00E710B8" w:rsidRDefault="00E710B8" w:rsidP="00E710B8">
      <w:pPr>
        <w:pStyle w:val="REG-Amend"/>
        <w:rPr>
          <w:rStyle w:val="REG-P0Char"/>
          <w:rFonts w:ascii="Arial" w:eastAsiaTheme="minorHAnsi" w:hAnsi="Arial" w:cs="Arial"/>
        </w:rPr>
      </w:pPr>
    </w:p>
    <w:p w14:paraId="7E18B523" w14:textId="77777777" w:rsidR="00A012CE" w:rsidRDefault="00E710B8" w:rsidP="00E710B8">
      <w:pPr>
        <w:pStyle w:val="REG-Amend"/>
      </w:pPr>
      <w:r>
        <w:rPr>
          <w:rStyle w:val="REG-P0Char"/>
          <w:rFonts w:ascii="Arial" w:eastAsiaTheme="minorHAnsi" w:hAnsi="Arial" w:cs="Arial"/>
        </w:rPr>
        <w:t>There is no direction regarding whether these Annexures are intended to form part of the regul</w:t>
      </w:r>
      <w:r>
        <w:rPr>
          <w:rStyle w:val="REG-P0Char"/>
          <w:rFonts w:ascii="Arial" w:eastAsiaTheme="minorHAnsi" w:hAnsi="Arial" w:cs="Arial"/>
        </w:rPr>
        <w:t>a</w:t>
      </w:r>
      <w:r>
        <w:rPr>
          <w:rStyle w:val="REG-P0Char"/>
          <w:rFonts w:ascii="Arial" w:eastAsiaTheme="minorHAnsi" w:hAnsi="Arial" w:cs="Arial"/>
        </w:rPr>
        <w:t>ti</w:t>
      </w:r>
      <w:r>
        <w:rPr>
          <w:rStyle w:val="REG-P0Char"/>
          <w:rFonts w:ascii="Arial" w:eastAsiaTheme="minorHAnsi" w:hAnsi="Arial" w:cs="Arial"/>
        </w:rPr>
        <w:t>o</w:t>
      </w:r>
      <w:r>
        <w:rPr>
          <w:rStyle w:val="REG-P0Char"/>
          <w:rFonts w:ascii="Arial" w:eastAsiaTheme="minorHAnsi" w:hAnsi="Arial" w:cs="Arial"/>
        </w:rPr>
        <w:t xml:space="preserve">ns, or whether </w:t>
      </w:r>
      <w:r w:rsidRPr="00523476">
        <w:t xml:space="preserve">“ANNEXURE A” </w:t>
      </w:r>
      <w:r>
        <w:t xml:space="preserve">in </w:t>
      </w:r>
      <w:r w:rsidRPr="00523476">
        <w:t>General Notice 738/2023</w:t>
      </w:r>
      <w:r>
        <w:t xml:space="preserve"> was intended to be substituted for </w:t>
      </w:r>
      <w:r w:rsidRPr="00523476">
        <w:t xml:space="preserve">“ANNEXURE A” </w:t>
      </w:r>
      <w:r>
        <w:t xml:space="preserve">in </w:t>
      </w:r>
      <w:r w:rsidRPr="00523476">
        <w:t>General Notice 417/2020</w:t>
      </w:r>
      <w:r>
        <w:t xml:space="preserve">. </w:t>
      </w:r>
    </w:p>
    <w:p w14:paraId="1026E426" w14:textId="77777777" w:rsidR="00A012CE" w:rsidRDefault="00A012CE" w:rsidP="00E710B8">
      <w:pPr>
        <w:pStyle w:val="REG-Amend"/>
      </w:pPr>
    </w:p>
    <w:p w14:paraId="1ADB7490" w14:textId="2FACB84B" w:rsidR="00E710B8" w:rsidRPr="00523476" w:rsidRDefault="00A012CE" w:rsidP="00E710B8">
      <w:pPr>
        <w:pStyle w:val="REG-Amend"/>
        <w:rPr>
          <w:rStyle w:val="REG-P0Char"/>
          <w:rFonts w:ascii="Arial" w:eastAsiaTheme="minorHAnsi" w:hAnsi="Arial" w:cs="Arial"/>
        </w:rPr>
      </w:pPr>
      <w:r>
        <w:t xml:space="preserve">All of the </w:t>
      </w:r>
      <w:r w:rsidR="00E710B8">
        <w:t xml:space="preserve">Annexures </w:t>
      </w:r>
      <w:r>
        <w:t xml:space="preserve">from </w:t>
      </w:r>
      <w:r>
        <w:br/>
        <w:t xml:space="preserve">both General Notices are </w:t>
      </w:r>
      <w:r w:rsidR="00E710B8">
        <w:t>reproduced below.</w:t>
      </w:r>
      <w:r w:rsidR="00E710B8">
        <w:t>]</w:t>
      </w:r>
    </w:p>
    <w:p w14:paraId="753522D6" w14:textId="062826FB" w:rsidR="00E710B8" w:rsidRDefault="00E710B8" w:rsidP="00F17377">
      <w:pPr>
        <w:autoSpaceDE w:val="0"/>
        <w:autoSpaceDN w:val="0"/>
        <w:adjustRightInd w:val="0"/>
        <w:jc w:val="center"/>
        <w:rPr>
          <w:rFonts w:ascii="TimesNewRomanPS-BoldMT" w:hAnsi="TimesNewRomanPS-BoldMT" w:cs="TimesNewRomanPS-BoldMT"/>
          <w:b/>
          <w:bCs/>
          <w:noProof w:val="0"/>
          <w:lang w:val="en-ZA"/>
        </w:rPr>
      </w:pPr>
    </w:p>
    <w:p w14:paraId="4D6C1FB5" w14:textId="77777777" w:rsidR="00173DE2" w:rsidRDefault="00173DE2" w:rsidP="00F17377">
      <w:pPr>
        <w:autoSpaceDE w:val="0"/>
        <w:autoSpaceDN w:val="0"/>
        <w:adjustRightInd w:val="0"/>
        <w:jc w:val="center"/>
        <w:rPr>
          <w:rFonts w:ascii="TimesNewRomanPS-BoldMT" w:hAnsi="TimesNewRomanPS-BoldMT" w:cs="TimesNewRomanPS-BoldMT"/>
          <w:b/>
          <w:bCs/>
          <w:noProof w:val="0"/>
          <w:lang w:val="en-ZA"/>
        </w:rPr>
      </w:pPr>
    </w:p>
    <w:p w14:paraId="571DDD38" w14:textId="05B4CB9A" w:rsidR="00F17377" w:rsidRPr="003F3FAB" w:rsidRDefault="00A012CE" w:rsidP="00F17377">
      <w:pPr>
        <w:autoSpaceDE w:val="0"/>
        <w:autoSpaceDN w:val="0"/>
        <w:adjustRightInd w:val="0"/>
        <w:jc w:val="center"/>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br w:type="column"/>
      </w:r>
      <w:r w:rsidR="00F17377" w:rsidRPr="003F3FAB">
        <w:rPr>
          <w:rFonts w:ascii="TimesNewRomanPS-BoldMT" w:hAnsi="TimesNewRomanPS-BoldMT" w:cs="TimesNewRomanPS-BoldMT"/>
          <w:b/>
          <w:bCs/>
          <w:noProof w:val="0"/>
          <w:lang w:val="en-ZA"/>
        </w:rPr>
        <w:t>ANNEXURE A</w:t>
      </w:r>
    </w:p>
    <w:p w14:paraId="5B6F0F30" w14:textId="46DAEBE6" w:rsidR="00F02DA4" w:rsidRDefault="00F02DA4" w:rsidP="00E710B8">
      <w:pPr>
        <w:autoSpaceDE w:val="0"/>
        <w:autoSpaceDN w:val="0"/>
        <w:adjustRightInd w:val="0"/>
        <w:jc w:val="center"/>
        <w:rPr>
          <w:rFonts w:ascii="TimesNewRomanPS-BoldMT" w:hAnsi="TimesNewRomanPS-BoldMT" w:cs="TimesNewRomanPS-BoldMT"/>
          <w:b/>
          <w:bCs/>
          <w:noProof w:val="0"/>
          <w:lang w:val="en-ZA"/>
        </w:rPr>
      </w:pPr>
    </w:p>
    <w:p w14:paraId="57989F89" w14:textId="25FFEAD3" w:rsidR="00E710B8" w:rsidRDefault="00E710B8" w:rsidP="0095228D">
      <w:pPr>
        <w:pStyle w:val="REG-Amend"/>
      </w:pPr>
      <w:r>
        <w:t xml:space="preserve">[This Annexure A is contained in </w:t>
      </w:r>
      <w:r w:rsidRPr="00523476">
        <w:t>General Notice 417/2020</w:t>
      </w:r>
      <w:r>
        <w:t>.</w:t>
      </w:r>
      <w:r w:rsidR="0095228D" w:rsidRPr="0095228D">
        <w:t xml:space="preserve"> </w:t>
      </w:r>
      <w:r w:rsidR="0095228D">
        <w:br/>
      </w:r>
      <w:r w:rsidR="0095228D" w:rsidRPr="0095228D">
        <w:t xml:space="preserve">Minor formatting errors in the table are corrected without annotation; </w:t>
      </w:r>
      <w:r w:rsidR="0095228D">
        <w:br/>
      </w:r>
      <w:r w:rsidR="00A012CE">
        <w:t xml:space="preserve">spelling, </w:t>
      </w:r>
      <w:r w:rsidR="0095228D" w:rsidRPr="0095228D">
        <w:t xml:space="preserve">grammar and punctuation are reproduced as in the </w:t>
      </w:r>
      <w:r w:rsidR="0095228D" w:rsidRPr="0095228D">
        <w:rPr>
          <w:i/>
        </w:rPr>
        <w:t>Government</w:t>
      </w:r>
      <w:r w:rsidR="0095228D" w:rsidRPr="0095228D">
        <w:t xml:space="preserve"> </w:t>
      </w:r>
      <w:r w:rsidR="0095228D" w:rsidRPr="0095228D">
        <w:rPr>
          <w:i/>
        </w:rPr>
        <w:t>Gazette</w:t>
      </w:r>
      <w:r w:rsidR="00A012CE">
        <w:rPr>
          <w:i/>
        </w:rPr>
        <w:t xml:space="preserve"> </w:t>
      </w:r>
      <w:r w:rsidR="00A012CE">
        <w:rPr>
          <w:i/>
        </w:rPr>
        <w:br/>
      </w:r>
      <w:r w:rsidR="00A012CE" w:rsidRPr="00A012CE">
        <w:t>without annotation</w:t>
      </w:r>
      <w:r w:rsidR="0095228D" w:rsidRPr="0095228D">
        <w:rPr>
          <w:i/>
        </w:rPr>
        <w:t>.</w:t>
      </w:r>
      <w:r w:rsidR="0095228D" w:rsidRPr="0095228D">
        <w:t>]</w:t>
      </w:r>
    </w:p>
    <w:p w14:paraId="279DB01E" w14:textId="77777777" w:rsidR="00E710B8" w:rsidRDefault="00E710B8" w:rsidP="00E710B8">
      <w:pPr>
        <w:autoSpaceDE w:val="0"/>
        <w:autoSpaceDN w:val="0"/>
        <w:adjustRightInd w:val="0"/>
        <w:jc w:val="center"/>
        <w:rPr>
          <w:rFonts w:ascii="TimesNewRomanPS-BoldMT" w:hAnsi="TimesNewRomanPS-BoldMT" w:cs="TimesNewRomanPS-BoldMT"/>
          <w:b/>
          <w:bCs/>
          <w:noProof w:val="0"/>
          <w:lang w:val="en-ZA"/>
        </w:rPr>
      </w:pPr>
    </w:p>
    <w:p w14:paraId="1A6B3598" w14:textId="76CD2CE7" w:rsidR="00F17377" w:rsidRDefault="00F17377" w:rsidP="00F17377">
      <w:pPr>
        <w:autoSpaceDE w:val="0"/>
        <w:autoSpaceDN w:val="0"/>
        <w:adjustRightInd w:val="0"/>
        <w:jc w:val="center"/>
        <w:rPr>
          <w:rFonts w:ascii="TimesNewRomanPS-BoldMT" w:hAnsi="TimesNewRomanPS-BoldMT" w:cs="TimesNewRomanPS-BoldMT"/>
          <w:b/>
          <w:bCs/>
          <w:noProof w:val="0"/>
          <w:lang w:val="en-ZA"/>
        </w:rPr>
      </w:pPr>
      <w:r w:rsidRPr="003F3FAB">
        <w:rPr>
          <w:rFonts w:ascii="TimesNewRomanPS-BoldMT" w:hAnsi="TimesNewRomanPS-BoldMT" w:cs="TimesNewRomanPS-BoldMT"/>
          <w:b/>
          <w:bCs/>
          <w:noProof w:val="0"/>
          <w:lang w:val="en-ZA"/>
        </w:rPr>
        <w:t xml:space="preserve">REPLY COMMENTS IN RESPECT OF PUBLIC COMMENTS RECEIVED </w:t>
      </w:r>
      <w:r w:rsidR="00BF2B5C" w:rsidRPr="003F3FAB">
        <w:rPr>
          <w:rFonts w:ascii="TimesNewRomanPS-BoldMT" w:hAnsi="TimesNewRomanPS-BoldMT" w:cs="TimesNewRomanPS-BoldMT"/>
          <w:b/>
          <w:bCs/>
          <w:noProof w:val="0"/>
          <w:lang w:val="en-ZA"/>
        </w:rPr>
        <w:br/>
      </w:r>
      <w:r w:rsidRPr="003F3FAB">
        <w:rPr>
          <w:rFonts w:ascii="TimesNewRomanPS-BoldMT" w:hAnsi="TimesNewRomanPS-BoldMT" w:cs="TimesNewRomanPS-BoldMT"/>
          <w:b/>
          <w:bCs/>
          <w:noProof w:val="0"/>
          <w:lang w:val="en-ZA"/>
        </w:rPr>
        <w:t xml:space="preserve">ON GOVERNMENT GAZETTE NO. 7216, GENERAL NOTICE NO. 187 </w:t>
      </w:r>
      <w:r w:rsidR="00BF2B5C" w:rsidRPr="003F3FAB">
        <w:rPr>
          <w:rFonts w:ascii="TimesNewRomanPS-BoldMT" w:hAnsi="TimesNewRomanPS-BoldMT" w:cs="TimesNewRomanPS-BoldMT"/>
          <w:b/>
          <w:bCs/>
          <w:noProof w:val="0"/>
          <w:lang w:val="en-ZA"/>
        </w:rPr>
        <w:br/>
      </w:r>
      <w:r w:rsidRPr="003F3FAB">
        <w:rPr>
          <w:rFonts w:ascii="TimesNewRomanPS-BoldMT" w:hAnsi="TimesNewRomanPS-BoldMT" w:cs="TimesNewRomanPS-BoldMT"/>
          <w:b/>
          <w:bCs/>
          <w:noProof w:val="0"/>
          <w:lang w:val="en-ZA"/>
        </w:rPr>
        <w:t>PUBLISHED ON 19 MAY 2020</w:t>
      </w:r>
    </w:p>
    <w:p w14:paraId="1E914175" w14:textId="77777777" w:rsidR="0095228D" w:rsidRDefault="0095228D" w:rsidP="00C87657">
      <w:pPr>
        <w:pStyle w:val="REG-P0"/>
      </w:pPr>
    </w:p>
    <w:p w14:paraId="7394E200" w14:textId="201346D6" w:rsidR="00C87657" w:rsidRPr="00C87657" w:rsidRDefault="00C87657" w:rsidP="00C87657">
      <w:pPr>
        <w:pStyle w:val="REG-P0"/>
      </w:pPr>
      <w:r w:rsidRPr="00C87657">
        <w:t>The table set out below reflects all comments received from stakeholders and the Authority’s</w:t>
      </w:r>
      <w:r w:rsidR="00615A66">
        <w:t xml:space="preserve"> </w:t>
      </w:r>
      <w:r w:rsidRPr="00C87657">
        <w:t>response thereto -</w:t>
      </w:r>
    </w:p>
    <w:p w14:paraId="61AF2BCA" w14:textId="77777777" w:rsidR="00F17377" w:rsidRDefault="00F17377">
      <w:pPr>
        <w:pStyle w:val="REG-P0"/>
        <w:jc w:val="cente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4111"/>
        <w:gridCol w:w="4536"/>
      </w:tblGrid>
      <w:tr w:rsidR="00B81E88" w:rsidRPr="00513BF0" w14:paraId="59F21F37" w14:textId="77777777" w:rsidTr="00B865C8">
        <w:trPr>
          <w:trHeight w:val="285"/>
        </w:trPr>
        <w:tc>
          <w:tcPr>
            <w:tcW w:w="4111" w:type="dxa"/>
          </w:tcPr>
          <w:p w14:paraId="1546352A" w14:textId="6B39AAC8" w:rsidR="00B81E88" w:rsidRPr="00513BF0" w:rsidRDefault="00921283" w:rsidP="00921283">
            <w:pPr>
              <w:pStyle w:val="TableParagraph"/>
              <w:spacing w:before="23"/>
              <w:jc w:val="center"/>
              <w:rPr>
                <w:rFonts w:cs="Times New Roman"/>
                <w:b/>
                <w:sz w:val="20"/>
                <w:szCs w:val="20"/>
              </w:rPr>
            </w:pPr>
            <w:r w:rsidRPr="00513BF0">
              <w:rPr>
                <w:rFonts w:cs="Times New Roman"/>
                <w:b/>
                <w:sz w:val="20"/>
                <w:szCs w:val="20"/>
              </w:rPr>
              <w:t>COMMENTS RECEIVED</w:t>
            </w:r>
          </w:p>
        </w:tc>
        <w:tc>
          <w:tcPr>
            <w:tcW w:w="4536" w:type="dxa"/>
            <w:vAlign w:val="center"/>
          </w:tcPr>
          <w:p w14:paraId="4172534A" w14:textId="77777777" w:rsidR="00B81E88" w:rsidRPr="00513BF0" w:rsidRDefault="00B81E88" w:rsidP="00921283">
            <w:pPr>
              <w:pStyle w:val="TableParagraph"/>
              <w:spacing w:before="23"/>
              <w:jc w:val="center"/>
              <w:rPr>
                <w:rFonts w:cs="Times New Roman"/>
                <w:b/>
                <w:sz w:val="20"/>
                <w:szCs w:val="20"/>
              </w:rPr>
            </w:pPr>
            <w:r w:rsidRPr="00513BF0">
              <w:rPr>
                <w:rFonts w:cs="Times New Roman"/>
                <w:b/>
                <w:sz w:val="20"/>
                <w:szCs w:val="20"/>
              </w:rPr>
              <w:t>RESPONSE FROM THE AUTHORITY</w:t>
            </w:r>
          </w:p>
        </w:tc>
      </w:tr>
      <w:tr w:rsidR="00B81E88" w:rsidRPr="00513BF0" w14:paraId="13F51F32" w14:textId="77777777" w:rsidTr="00B865C8">
        <w:trPr>
          <w:trHeight w:val="285"/>
        </w:trPr>
        <w:tc>
          <w:tcPr>
            <w:tcW w:w="8647" w:type="dxa"/>
            <w:gridSpan w:val="2"/>
            <w:shd w:val="clear" w:color="auto" w:fill="D1D3D4"/>
            <w:vAlign w:val="center"/>
          </w:tcPr>
          <w:p w14:paraId="38A458F2" w14:textId="5133F34D" w:rsidR="00B81E88" w:rsidRPr="00D53EEC" w:rsidRDefault="00B81E88" w:rsidP="00D53EEC">
            <w:pPr>
              <w:pStyle w:val="TableParagraph"/>
              <w:spacing w:before="27"/>
              <w:ind w:left="79" w:right="69"/>
              <w:jc w:val="both"/>
              <w:rPr>
                <w:rFonts w:cs="Times New Roman"/>
                <w:sz w:val="20"/>
                <w:szCs w:val="20"/>
              </w:rPr>
            </w:pPr>
            <w:r w:rsidRPr="00513BF0">
              <w:rPr>
                <w:rFonts w:cs="Times New Roman"/>
                <w:b/>
                <w:sz w:val="20"/>
                <w:szCs w:val="20"/>
              </w:rPr>
              <w:t>Paratus Telecommunications (Pty) Ltd</w:t>
            </w:r>
          </w:p>
        </w:tc>
      </w:tr>
      <w:tr w:rsidR="00B81E88" w:rsidRPr="007B375D" w14:paraId="59F8A18C" w14:textId="77777777" w:rsidTr="00B865C8">
        <w:trPr>
          <w:trHeight w:val="4198"/>
        </w:trPr>
        <w:tc>
          <w:tcPr>
            <w:tcW w:w="4111" w:type="dxa"/>
          </w:tcPr>
          <w:p w14:paraId="3DBA8E7E" w14:textId="77777777" w:rsidR="00B81E88" w:rsidRPr="007B375D" w:rsidRDefault="00B81E88" w:rsidP="0071745C">
            <w:pPr>
              <w:pStyle w:val="TableParagraph"/>
              <w:spacing w:before="27"/>
              <w:ind w:left="79"/>
              <w:rPr>
                <w:rFonts w:cs="Times New Roman"/>
                <w:sz w:val="20"/>
                <w:szCs w:val="20"/>
              </w:rPr>
            </w:pPr>
            <w:r w:rsidRPr="007B375D">
              <w:rPr>
                <w:rFonts w:cs="Times New Roman"/>
                <w:sz w:val="20"/>
                <w:szCs w:val="20"/>
              </w:rPr>
              <w:t>Please indicate how the fees were calculated. Was a specific rate or percentage applied?</w:t>
            </w:r>
          </w:p>
        </w:tc>
        <w:tc>
          <w:tcPr>
            <w:tcW w:w="4536" w:type="dxa"/>
          </w:tcPr>
          <w:p w14:paraId="0BD7F855" w14:textId="0B88D1E7" w:rsidR="000E2B35" w:rsidRPr="007B375D" w:rsidRDefault="00B81E88" w:rsidP="000E2B35">
            <w:pPr>
              <w:pStyle w:val="TableParagraph"/>
              <w:spacing w:before="27"/>
              <w:ind w:left="79" w:right="69"/>
              <w:jc w:val="both"/>
              <w:rPr>
                <w:rFonts w:cs="Times New Roman"/>
                <w:sz w:val="20"/>
                <w:szCs w:val="20"/>
              </w:rPr>
            </w:pPr>
            <w:r w:rsidRPr="007B375D">
              <w:rPr>
                <w:rFonts w:cs="Times New Roman"/>
                <w:sz w:val="20"/>
                <w:szCs w:val="20"/>
              </w:rPr>
              <w:t xml:space="preserve">As set out in regulation 2(f), the fees are set to achieve recovery of costs incurred by the Authority to execute its mandate in respect of management </w:t>
            </w:r>
            <w:r w:rsidRPr="007B375D">
              <w:rPr>
                <w:rFonts w:cs="Times New Roman"/>
                <w:spacing w:val="-6"/>
                <w:sz w:val="20"/>
                <w:szCs w:val="20"/>
              </w:rPr>
              <w:t xml:space="preserve">in </w:t>
            </w:r>
            <w:r w:rsidRPr="007B375D">
              <w:rPr>
                <w:rFonts w:cs="Times New Roman"/>
                <w:sz w:val="20"/>
                <w:szCs w:val="20"/>
              </w:rPr>
              <w:t>terms</w:t>
            </w:r>
            <w:r w:rsidRPr="007B375D">
              <w:rPr>
                <w:rFonts w:cs="Times New Roman"/>
                <w:spacing w:val="-8"/>
                <w:sz w:val="20"/>
                <w:szCs w:val="20"/>
              </w:rPr>
              <w:t xml:space="preserve"> </w:t>
            </w:r>
            <w:r w:rsidRPr="007B375D">
              <w:rPr>
                <w:rFonts w:cs="Times New Roman"/>
                <w:sz w:val="20"/>
                <w:szCs w:val="20"/>
              </w:rPr>
              <w:t>of</w:t>
            </w:r>
            <w:r w:rsidRPr="007B375D">
              <w:rPr>
                <w:rFonts w:cs="Times New Roman"/>
                <w:spacing w:val="-8"/>
                <w:sz w:val="20"/>
                <w:szCs w:val="20"/>
              </w:rPr>
              <w:t xml:space="preserve"> </w:t>
            </w:r>
            <w:r w:rsidRPr="007B375D">
              <w:rPr>
                <w:rFonts w:cs="Times New Roman"/>
                <w:sz w:val="20"/>
                <w:szCs w:val="20"/>
              </w:rPr>
              <w:t>the</w:t>
            </w:r>
            <w:r w:rsidRPr="007B375D">
              <w:rPr>
                <w:rFonts w:cs="Times New Roman"/>
                <w:spacing w:val="-18"/>
                <w:sz w:val="20"/>
                <w:szCs w:val="20"/>
              </w:rPr>
              <w:t xml:space="preserve"> </w:t>
            </w:r>
            <w:r w:rsidRPr="007B375D">
              <w:rPr>
                <w:rFonts w:cs="Times New Roman"/>
                <w:sz w:val="20"/>
                <w:szCs w:val="20"/>
              </w:rPr>
              <w:t>Act.</w:t>
            </w:r>
            <w:r w:rsidRPr="007B375D">
              <w:rPr>
                <w:rFonts w:cs="Times New Roman"/>
                <w:spacing w:val="-19"/>
                <w:sz w:val="20"/>
                <w:szCs w:val="20"/>
              </w:rPr>
              <w:t xml:space="preserve"> </w:t>
            </w:r>
            <w:r w:rsidRPr="007B375D">
              <w:rPr>
                <w:rFonts w:cs="Times New Roman"/>
                <w:sz w:val="20"/>
                <w:szCs w:val="20"/>
              </w:rPr>
              <w:t>As</w:t>
            </w:r>
            <w:r w:rsidRPr="007B375D">
              <w:rPr>
                <w:rFonts w:cs="Times New Roman"/>
                <w:spacing w:val="-8"/>
                <w:sz w:val="20"/>
                <w:szCs w:val="20"/>
              </w:rPr>
              <w:t xml:space="preserve"> </w:t>
            </w:r>
            <w:r w:rsidRPr="007B375D">
              <w:rPr>
                <w:rFonts w:cs="Times New Roman"/>
                <w:sz w:val="20"/>
                <w:szCs w:val="20"/>
              </w:rPr>
              <w:t>such</w:t>
            </w:r>
            <w:r w:rsidRPr="007B375D">
              <w:rPr>
                <w:rFonts w:cs="Times New Roman"/>
                <w:spacing w:val="-8"/>
                <w:sz w:val="20"/>
                <w:szCs w:val="20"/>
              </w:rPr>
              <w:t xml:space="preserve"> </w:t>
            </w:r>
            <w:r w:rsidRPr="007B375D">
              <w:rPr>
                <w:rFonts w:cs="Times New Roman"/>
                <w:sz w:val="20"/>
                <w:szCs w:val="20"/>
              </w:rPr>
              <w:t>the</w:t>
            </w:r>
            <w:r w:rsidRPr="007B375D">
              <w:rPr>
                <w:rFonts w:cs="Times New Roman"/>
                <w:spacing w:val="-18"/>
                <w:sz w:val="20"/>
                <w:szCs w:val="20"/>
              </w:rPr>
              <w:t xml:space="preserve"> </w:t>
            </w:r>
            <w:r w:rsidRPr="007B375D">
              <w:rPr>
                <w:rFonts w:cs="Times New Roman"/>
                <w:sz w:val="20"/>
                <w:szCs w:val="20"/>
              </w:rPr>
              <w:t>Authority</w:t>
            </w:r>
            <w:r w:rsidRPr="007B375D">
              <w:rPr>
                <w:rFonts w:cs="Times New Roman"/>
                <w:spacing w:val="-9"/>
                <w:sz w:val="20"/>
                <w:szCs w:val="20"/>
              </w:rPr>
              <w:t xml:space="preserve"> </w:t>
            </w:r>
            <w:r w:rsidRPr="007B375D">
              <w:rPr>
                <w:rFonts w:cs="Times New Roman"/>
                <w:sz w:val="20"/>
                <w:szCs w:val="20"/>
              </w:rPr>
              <w:t>calculated</w:t>
            </w:r>
            <w:r w:rsidRPr="007B375D">
              <w:rPr>
                <w:rFonts w:cs="Times New Roman"/>
                <w:spacing w:val="-9"/>
                <w:sz w:val="20"/>
                <w:szCs w:val="20"/>
              </w:rPr>
              <w:t xml:space="preserve"> </w:t>
            </w:r>
            <w:r w:rsidRPr="007B375D">
              <w:rPr>
                <w:rFonts w:cs="Times New Roman"/>
                <w:sz w:val="20"/>
                <w:szCs w:val="20"/>
              </w:rPr>
              <w:t>the fees</w:t>
            </w:r>
            <w:r w:rsidRPr="007B375D">
              <w:rPr>
                <w:rFonts w:cs="Times New Roman"/>
                <w:spacing w:val="-12"/>
                <w:sz w:val="20"/>
                <w:szCs w:val="20"/>
              </w:rPr>
              <w:t xml:space="preserve"> </w:t>
            </w:r>
            <w:r w:rsidRPr="007B375D">
              <w:rPr>
                <w:rFonts w:cs="Times New Roman"/>
                <w:sz w:val="20"/>
                <w:szCs w:val="20"/>
              </w:rPr>
              <w:t>as</w:t>
            </w:r>
            <w:r w:rsidRPr="007B375D">
              <w:rPr>
                <w:rFonts w:cs="Times New Roman"/>
                <w:spacing w:val="-11"/>
                <w:sz w:val="20"/>
                <w:szCs w:val="20"/>
              </w:rPr>
              <w:t xml:space="preserve"> </w:t>
            </w:r>
            <w:r w:rsidRPr="007B375D">
              <w:rPr>
                <w:rFonts w:cs="Times New Roman"/>
                <w:sz w:val="20"/>
                <w:szCs w:val="20"/>
              </w:rPr>
              <w:t>follows</w:t>
            </w:r>
            <w:r w:rsidRPr="007B375D">
              <w:rPr>
                <w:rFonts w:cs="Times New Roman"/>
                <w:spacing w:val="-11"/>
                <w:sz w:val="20"/>
                <w:szCs w:val="20"/>
              </w:rPr>
              <w:t xml:space="preserve"> </w:t>
            </w:r>
            <w:r w:rsidRPr="007B375D">
              <w:rPr>
                <w:rFonts w:cs="Times New Roman"/>
                <w:sz w:val="20"/>
                <w:szCs w:val="20"/>
              </w:rPr>
              <w:t>(taking</w:t>
            </w:r>
            <w:r w:rsidRPr="007B375D">
              <w:rPr>
                <w:rFonts w:cs="Times New Roman"/>
                <w:spacing w:val="-11"/>
                <w:sz w:val="20"/>
                <w:szCs w:val="20"/>
              </w:rPr>
              <w:t xml:space="preserve"> </w:t>
            </w:r>
            <w:r w:rsidRPr="007B375D">
              <w:rPr>
                <w:rFonts w:cs="Times New Roman"/>
                <w:sz w:val="20"/>
                <w:szCs w:val="20"/>
              </w:rPr>
              <w:t>into</w:t>
            </w:r>
            <w:r w:rsidRPr="007B375D">
              <w:rPr>
                <w:rFonts w:cs="Times New Roman"/>
                <w:spacing w:val="-11"/>
                <w:sz w:val="20"/>
                <w:szCs w:val="20"/>
              </w:rPr>
              <w:t xml:space="preserve"> </w:t>
            </w:r>
            <w:r w:rsidRPr="007B375D">
              <w:rPr>
                <w:rFonts w:cs="Times New Roman"/>
                <w:sz w:val="20"/>
                <w:szCs w:val="20"/>
              </w:rPr>
              <w:t>account</w:t>
            </w:r>
            <w:r w:rsidRPr="007B375D">
              <w:rPr>
                <w:rFonts w:cs="Times New Roman"/>
                <w:spacing w:val="-11"/>
                <w:sz w:val="20"/>
                <w:szCs w:val="20"/>
              </w:rPr>
              <w:t xml:space="preserve"> </w:t>
            </w:r>
            <w:r w:rsidRPr="007B375D">
              <w:rPr>
                <w:rFonts w:cs="Times New Roman"/>
                <w:sz w:val="20"/>
                <w:szCs w:val="20"/>
              </w:rPr>
              <w:t>that</w:t>
            </w:r>
            <w:r w:rsidRPr="007B375D">
              <w:rPr>
                <w:rFonts w:cs="Times New Roman"/>
                <w:spacing w:val="-11"/>
                <w:sz w:val="20"/>
                <w:szCs w:val="20"/>
              </w:rPr>
              <w:t xml:space="preserve"> </w:t>
            </w:r>
            <w:r w:rsidRPr="007B375D">
              <w:rPr>
                <w:rFonts w:cs="Times New Roman"/>
                <w:sz w:val="20"/>
                <w:szCs w:val="20"/>
              </w:rPr>
              <w:t>the</w:t>
            </w:r>
            <w:r w:rsidRPr="007B375D">
              <w:rPr>
                <w:rFonts w:cs="Times New Roman"/>
                <w:spacing w:val="-22"/>
                <w:sz w:val="20"/>
                <w:szCs w:val="20"/>
              </w:rPr>
              <w:t xml:space="preserve"> </w:t>
            </w:r>
            <w:r w:rsidRPr="007B375D">
              <w:rPr>
                <w:rFonts w:cs="Times New Roman"/>
                <w:sz w:val="20"/>
                <w:szCs w:val="20"/>
              </w:rPr>
              <w:t>Authority has not reviewed spectrum fees since June 2017, the fees were based on CPI increases up to</w:t>
            </w:r>
            <w:r w:rsidRPr="007B375D">
              <w:rPr>
                <w:rFonts w:cs="Times New Roman"/>
                <w:spacing w:val="-3"/>
                <w:sz w:val="20"/>
                <w:szCs w:val="20"/>
              </w:rPr>
              <w:t xml:space="preserve"> </w:t>
            </w:r>
            <w:r w:rsidRPr="007B375D">
              <w:rPr>
                <w:rFonts w:cs="Times New Roman"/>
                <w:sz w:val="20"/>
                <w:szCs w:val="20"/>
              </w:rPr>
              <w:t>2015):</w:t>
            </w:r>
          </w:p>
          <w:p w14:paraId="4C97E9EB" w14:textId="11EB52E6" w:rsidR="00B81E88" w:rsidRPr="007B375D" w:rsidRDefault="00B81E88" w:rsidP="0071745C">
            <w:pPr>
              <w:pStyle w:val="TableParagraph"/>
              <w:spacing w:before="11"/>
              <w:rPr>
                <w:rFonts w:cs="Times New Roman"/>
                <w:sz w:val="20"/>
                <w:szCs w:val="20"/>
              </w:rPr>
            </w:pPr>
          </w:p>
          <w:p w14:paraId="42077CBC" w14:textId="15EAF32A" w:rsidR="00371AC7" w:rsidRPr="007B375D" w:rsidRDefault="00371AC7" w:rsidP="000D77AC">
            <w:pPr>
              <w:pStyle w:val="TableParagraph"/>
              <w:widowControl w:val="0"/>
              <w:numPr>
                <w:ilvl w:val="0"/>
                <w:numId w:val="12"/>
              </w:numPr>
              <w:tabs>
                <w:tab w:val="left" w:pos="399"/>
              </w:tabs>
              <w:autoSpaceDE w:val="0"/>
              <w:autoSpaceDN w:val="0"/>
              <w:spacing w:before="27"/>
              <w:ind w:left="419" w:right="68" w:hanging="340"/>
              <w:jc w:val="both"/>
              <w:rPr>
                <w:rFonts w:cs="Times New Roman"/>
                <w:sz w:val="20"/>
                <w:szCs w:val="20"/>
              </w:rPr>
            </w:pPr>
            <w:r w:rsidRPr="007B375D">
              <w:rPr>
                <w:rFonts w:cs="Times New Roman"/>
                <w:sz w:val="20"/>
                <w:szCs w:val="20"/>
              </w:rPr>
              <w:t xml:space="preserve">Flat fees for existing services as set out in regulation 4 is based on CPI for 2016, </w:t>
            </w:r>
            <w:r w:rsidRPr="007B375D">
              <w:rPr>
                <w:rFonts w:cs="Times New Roman"/>
                <w:spacing w:val="-3"/>
                <w:sz w:val="20"/>
                <w:szCs w:val="20"/>
              </w:rPr>
              <w:t xml:space="preserve">2017, </w:t>
            </w:r>
            <w:r w:rsidRPr="007B375D">
              <w:rPr>
                <w:rFonts w:cs="Times New Roman"/>
                <w:sz w:val="20"/>
                <w:szCs w:val="20"/>
              </w:rPr>
              <w:t xml:space="preserve">2018 and 2019; However, after consideration of the comments at the oral hearing, the Authority capped the increase at 12%. </w:t>
            </w:r>
          </w:p>
          <w:p w14:paraId="6854160E" w14:textId="77777777" w:rsidR="00371AC7" w:rsidRPr="007B375D" w:rsidRDefault="00371AC7" w:rsidP="00371AC7">
            <w:pPr>
              <w:pStyle w:val="TableParagraph"/>
              <w:widowControl w:val="0"/>
              <w:tabs>
                <w:tab w:val="left" w:pos="399"/>
              </w:tabs>
              <w:autoSpaceDE w:val="0"/>
              <w:autoSpaceDN w:val="0"/>
              <w:spacing w:before="27"/>
              <w:ind w:left="567" w:right="69"/>
              <w:rPr>
                <w:rFonts w:cs="Times New Roman"/>
                <w:sz w:val="20"/>
                <w:szCs w:val="20"/>
              </w:rPr>
            </w:pPr>
          </w:p>
          <w:p w14:paraId="6DEA8B8D" w14:textId="3890CAE1" w:rsidR="00B81E88" w:rsidRPr="007B375D" w:rsidRDefault="00371AC7" w:rsidP="000D77AC">
            <w:pPr>
              <w:pStyle w:val="TableParagraph"/>
              <w:widowControl w:val="0"/>
              <w:numPr>
                <w:ilvl w:val="0"/>
                <w:numId w:val="12"/>
              </w:numPr>
              <w:tabs>
                <w:tab w:val="left" w:pos="399"/>
              </w:tabs>
              <w:autoSpaceDE w:val="0"/>
              <w:autoSpaceDN w:val="0"/>
              <w:spacing w:before="27"/>
              <w:ind w:left="419" w:right="68" w:hanging="340"/>
              <w:jc w:val="both"/>
              <w:rPr>
                <w:rFonts w:cs="Times New Roman"/>
                <w:sz w:val="20"/>
                <w:szCs w:val="20"/>
              </w:rPr>
            </w:pPr>
            <w:r w:rsidRPr="007B375D">
              <w:rPr>
                <w:rFonts w:cs="Times New Roman"/>
                <w:sz w:val="20"/>
                <w:szCs w:val="20"/>
              </w:rPr>
              <w:t>Formulae based fees are based on the formula contained in regulation 5(4). After consideration of the oral and written comments, the base value was reduced by</w:t>
            </w:r>
            <w:r w:rsidRPr="007B375D">
              <w:rPr>
                <w:rFonts w:cs="Times New Roman"/>
                <w:spacing w:val="-2"/>
                <w:sz w:val="20"/>
                <w:szCs w:val="20"/>
              </w:rPr>
              <w:t xml:space="preserve"> </w:t>
            </w:r>
            <w:r w:rsidRPr="007B375D">
              <w:rPr>
                <w:rFonts w:cs="Times New Roman"/>
                <w:sz w:val="20"/>
                <w:szCs w:val="20"/>
              </w:rPr>
              <w:t>23%.</w:t>
            </w:r>
          </w:p>
        </w:tc>
      </w:tr>
      <w:tr w:rsidR="00B81E88" w:rsidRPr="00513BF0" w14:paraId="5CAD38C5" w14:textId="77777777" w:rsidTr="00B865C8">
        <w:trPr>
          <w:trHeight w:val="1306"/>
        </w:trPr>
        <w:tc>
          <w:tcPr>
            <w:tcW w:w="4111" w:type="dxa"/>
          </w:tcPr>
          <w:p w14:paraId="325A6555" w14:textId="77777777" w:rsidR="00B81E88" w:rsidRPr="007B375D" w:rsidRDefault="00B81E88" w:rsidP="0071745C">
            <w:pPr>
              <w:pStyle w:val="TableParagraph"/>
              <w:spacing w:before="27"/>
              <w:ind w:left="79"/>
              <w:rPr>
                <w:rFonts w:cs="Times New Roman"/>
                <w:sz w:val="20"/>
                <w:szCs w:val="20"/>
              </w:rPr>
            </w:pPr>
            <w:r w:rsidRPr="007B375D">
              <w:rPr>
                <w:rFonts w:cs="Times New Roman"/>
                <w:sz w:val="20"/>
                <w:szCs w:val="20"/>
              </w:rPr>
              <w:t>Is</w:t>
            </w:r>
            <w:r w:rsidRPr="007B375D">
              <w:rPr>
                <w:rFonts w:cs="Times New Roman"/>
                <w:spacing w:val="-10"/>
                <w:sz w:val="20"/>
                <w:szCs w:val="20"/>
              </w:rPr>
              <w:t xml:space="preserve"> </w:t>
            </w:r>
            <w:r w:rsidRPr="007B375D">
              <w:rPr>
                <w:rFonts w:cs="Times New Roman"/>
                <w:sz w:val="20"/>
                <w:szCs w:val="20"/>
              </w:rPr>
              <w:t>it</w:t>
            </w:r>
            <w:r w:rsidRPr="007B375D">
              <w:rPr>
                <w:rFonts w:cs="Times New Roman"/>
                <w:spacing w:val="-10"/>
                <w:sz w:val="20"/>
                <w:szCs w:val="20"/>
              </w:rPr>
              <w:t xml:space="preserve"> </w:t>
            </w:r>
            <w:r w:rsidRPr="007B375D">
              <w:rPr>
                <w:rFonts w:cs="Times New Roman"/>
                <w:sz w:val="20"/>
                <w:szCs w:val="20"/>
              </w:rPr>
              <w:t>possible</w:t>
            </w:r>
            <w:r w:rsidRPr="007B375D">
              <w:rPr>
                <w:rFonts w:cs="Times New Roman"/>
                <w:spacing w:val="-11"/>
                <w:sz w:val="20"/>
                <w:szCs w:val="20"/>
              </w:rPr>
              <w:t xml:space="preserve"> </w:t>
            </w:r>
            <w:r w:rsidRPr="007B375D">
              <w:rPr>
                <w:rFonts w:cs="Times New Roman"/>
                <w:sz w:val="20"/>
                <w:szCs w:val="20"/>
              </w:rPr>
              <w:t>to</w:t>
            </w:r>
            <w:r w:rsidRPr="007B375D">
              <w:rPr>
                <w:rFonts w:cs="Times New Roman"/>
                <w:spacing w:val="-9"/>
                <w:sz w:val="20"/>
                <w:szCs w:val="20"/>
              </w:rPr>
              <w:t xml:space="preserve"> </w:t>
            </w:r>
            <w:r w:rsidRPr="007B375D">
              <w:rPr>
                <w:rFonts w:cs="Times New Roman"/>
                <w:sz w:val="20"/>
                <w:szCs w:val="20"/>
              </w:rPr>
              <w:t>delay</w:t>
            </w:r>
            <w:r w:rsidRPr="007B375D">
              <w:rPr>
                <w:rFonts w:cs="Times New Roman"/>
                <w:spacing w:val="-11"/>
                <w:sz w:val="20"/>
                <w:szCs w:val="20"/>
              </w:rPr>
              <w:t xml:space="preserve"> </w:t>
            </w:r>
            <w:r w:rsidRPr="007B375D">
              <w:rPr>
                <w:rFonts w:cs="Times New Roman"/>
                <w:sz w:val="20"/>
                <w:szCs w:val="20"/>
              </w:rPr>
              <w:t>or</w:t>
            </w:r>
            <w:r w:rsidRPr="007B375D">
              <w:rPr>
                <w:rFonts w:cs="Times New Roman"/>
                <w:spacing w:val="-9"/>
                <w:sz w:val="20"/>
                <w:szCs w:val="20"/>
              </w:rPr>
              <w:t xml:space="preserve"> </w:t>
            </w:r>
            <w:r w:rsidRPr="007B375D">
              <w:rPr>
                <w:rFonts w:cs="Times New Roman"/>
                <w:sz w:val="20"/>
                <w:szCs w:val="20"/>
              </w:rPr>
              <w:t>postpone</w:t>
            </w:r>
            <w:r w:rsidRPr="007B375D">
              <w:rPr>
                <w:rFonts w:cs="Times New Roman"/>
                <w:spacing w:val="-11"/>
                <w:sz w:val="20"/>
                <w:szCs w:val="20"/>
              </w:rPr>
              <w:t xml:space="preserve"> </w:t>
            </w:r>
            <w:r w:rsidRPr="007B375D">
              <w:rPr>
                <w:rFonts w:cs="Times New Roman"/>
                <w:sz w:val="20"/>
                <w:szCs w:val="20"/>
              </w:rPr>
              <w:t>the</w:t>
            </w:r>
            <w:r w:rsidRPr="007B375D">
              <w:rPr>
                <w:rFonts w:cs="Times New Roman"/>
                <w:spacing w:val="-10"/>
                <w:sz w:val="20"/>
                <w:szCs w:val="20"/>
              </w:rPr>
              <w:t xml:space="preserve"> </w:t>
            </w:r>
            <w:r w:rsidRPr="007B375D">
              <w:rPr>
                <w:rFonts w:cs="Times New Roman"/>
                <w:sz w:val="20"/>
                <w:szCs w:val="20"/>
              </w:rPr>
              <w:t xml:space="preserve">implementation of these fees to next year or as soon as we have </w:t>
            </w:r>
            <w:r w:rsidRPr="007B375D">
              <w:rPr>
                <w:rFonts w:cs="Times New Roman"/>
                <w:spacing w:val="-3"/>
                <w:sz w:val="20"/>
                <w:szCs w:val="20"/>
              </w:rPr>
              <w:t xml:space="preserve">fully </w:t>
            </w:r>
            <w:r w:rsidRPr="007B375D">
              <w:rPr>
                <w:rFonts w:cs="Times New Roman"/>
                <w:sz w:val="20"/>
                <w:szCs w:val="20"/>
              </w:rPr>
              <w:t>recovered from the current status of emergency caused by Covid-19.</w:t>
            </w:r>
          </w:p>
        </w:tc>
        <w:tc>
          <w:tcPr>
            <w:tcW w:w="4536" w:type="dxa"/>
          </w:tcPr>
          <w:p w14:paraId="50EE2FD1" w14:textId="77777777" w:rsidR="00B81E88" w:rsidRPr="007B375D" w:rsidRDefault="00B81E88" w:rsidP="0071745C">
            <w:pPr>
              <w:pStyle w:val="TableParagraph"/>
              <w:spacing w:before="27"/>
              <w:ind w:left="79" w:right="67"/>
              <w:jc w:val="both"/>
              <w:rPr>
                <w:rFonts w:cs="Times New Roman"/>
                <w:sz w:val="20"/>
                <w:szCs w:val="20"/>
              </w:rPr>
            </w:pPr>
            <w:r w:rsidRPr="007B375D">
              <w:rPr>
                <w:rFonts w:cs="Times New Roman"/>
                <w:sz w:val="20"/>
                <w:szCs w:val="20"/>
              </w:rPr>
              <w:t>As set out in regulation 7, these regulations will become effective on 1 January 2021.</w:t>
            </w:r>
          </w:p>
        </w:tc>
      </w:tr>
      <w:tr w:rsidR="00B81E88" w:rsidRPr="00513BF0" w14:paraId="624B8548" w14:textId="77777777" w:rsidTr="00B865C8">
        <w:trPr>
          <w:trHeight w:val="1306"/>
        </w:trPr>
        <w:tc>
          <w:tcPr>
            <w:tcW w:w="4111" w:type="dxa"/>
          </w:tcPr>
          <w:p w14:paraId="7C67C138" w14:textId="77777777" w:rsidR="00B81E88" w:rsidRPr="00513BF0" w:rsidRDefault="00B81E88" w:rsidP="0071745C">
            <w:pPr>
              <w:pStyle w:val="TableParagraph"/>
              <w:spacing w:before="27"/>
              <w:ind w:left="79"/>
              <w:rPr>
                <w:rFonts w:cs="Times New Roman"/>
                <w:sz w:val="20"/>
                <w:szCs w:val="20"/>
              </w:rPr>
            </w:pPr>
            <w:r w:rsidRPr="00513BF0">
              <w:rPr>
                <w:rFonts w:cs="Times New Roman"/>
                <w:sz w:val="20"/>
                <w:szCs w:val="20"/>
              </w:rPr>
              <w:t>Please clarify7.2 of Table 1. Will the spectrum be charged and paid in kbps.</w:t>
            </w:r>
          </w:p>
        </w:tc>
        <w:tc>
          <w:tcPr>
            <w:tcW w:w="4536" w:type="dxa"/>
          </w:tcPr>
          <w:p w14:paraId="336C7183" w14:textId="77777777" w:rsidR="00B81E88" w:rsidRPr="00513BF0" w:rsidRDefault="00B81E88" w:rsidP="0071745C">
            <w:pPr>
              <w:pStyle w:val="TableParagraph"/>
              <w:spacing w:before="27"/>
              <w:ind w:left="79" w:right="67"/>
              <w:jc w:val="both"/>
              <w:rPr>
                <w:rFonts w:cs="Times New Roman"/>
                <w:sz w:val="20"/>
                <w:szCs w:val="20"/>
              </w:rPr>
            </w:pPr>
            <w:r w:rsidRPr="00513BF0">
              <w:rPr>
                <w:rFonts w:cs="Times New Roman"/>
                <w:sz w:val="20"/>
                <w:szCs w:val="20"/>
              </w:rPr>
              <w:t>Taken into consideration the comments of the licensees’ spectrum for fixed and mobile satellite will be changed on formula-based fees.</w:t>
            </w:r>
          </w:p>
        </w:tc>
      </w:tr>
      <w:tr w:rsidR="00B81E88" w:rsidRPr="00513BF0" w14:paraId="5461AD3B" w14:textId="77777777" w:rsidTr="00B865C8">
        <w:trPr>
          <w:trHeight w:val="1306"/>
        </w:trPr>
        <w:tc>
          <w:tcPr>
            <w:tcW w:w="4111" w:type="dxa"/>
          </w:tcPr>
          <w:p w14:paraId="0644FB11" w14:textId="6381CB02" w:rsidR="00B81E88" w:rsidRPr="00513BF0" w:rsidRDefault="00B81E88" w:rsidP="00C16FAD">
            <w:pPr>
              <w:pStyle w:val="TableParagraph"/>
              <w:spacing w:before="27"/>
              <w:ind w:left="79" w:right="69"/>
              <w:jc w:val="both"/>
              <w:rPr>
                <w:rFonts w:cs="Times New Roman"/>
                <w:sz w:val="20"/>
                <w:szCs w:val="20"/>
              </w:rPr>
            </w:pPr>
            <w:r w:rsidRPr="00513BF0">
              <w:rPr>
                <w:rFonts w:cs="Times New Roman"/>
                <w:sz w:val="20"/>
                <w:szCs w:val="20"/>
              </w:rPr>
              <w:t>Please indicate when point 7.2 has to be paid</w:t>
            </w:r>
          </w:p>
        </w:tc>
        <w:tc>
          <w:tcPr>
            <w:tcW w:w="4536" w:type="dxa"/>
          </w:tcPr>
          <w:p w14:paraId="1F6081D6" w14:textId="2185FB12" w:rsidR="00B81E88" w:rsidRPr="00513BF0" w:rsidRDefault="00B81E88" w:rsidP="000E2B35">
            <w:pPr>
              <w:pStyle w:val="TableParagraph"/>
              <w:spacing w:before="27"/>
              <w:ind w:left="79" w:right="69"/>
              <w:jc w:val="both"/>
              <w:rPr>
                <w:rFonts w:cs="Times New Roman"/>
                <w:sz w:val="20"/>
                <w:szCs w:val="20"/>
              </w:rPr>
            </w:pPr>
            <w:r w:rsidRPr="00513BF0">
              <w:rPr>
                <w:rFonts w:cs="Times New Roman"/>
                <w:sz w:val="20"/>
                <w:szCs w:val="20"/>
              </w:rPr>
              <w:t>All spectrum fees are payable on or before 31 December in advance for the forthcoming year as</w:t>
            </w:r>
            <w:r w:rsidRPr="00513BF0">
              <w:rPr>
                <w:rFonts w:cs="Times New Roman"/>
                <w:spacing w:val="-22"/>
                <w:sz w:val="20"/>
                <w:szCs w:val="20"/>
              </w:rPr>
              <w:t xml:space="preserve"> </w:t>
            </w:r>
            <w:r w:rsidRPr="00513BF0">
              <w:rPr>
                <w:rFonts w:cs="Times New Roman"/>
                <w:sz w:val="20"/>
                <w:szCs w:val="20"/>
              </w:rPr>
              <w:t>set out in regulation 3(2)</w:t>
            </w:r>
          </w:p>
        </w:tc>
      </w:tr>
      <w:tr w:rsidR="00B81E88" w:rsidRPr="00513BF0" w14:paraId="7BCB347F" w14:textId="77777777" w:rsidTr="00B865C8">
        <w:trPr>
          <w:trHeight w:val="1306"/>
        </w:trPr>
        <w:tc>
          <w:tcPr>
            <w:tcW w:w="4111" w:type="dxa"/>
          </w:tcPr>
          <w:p w14:paraId="423F9D01" w14:textId="23B7EE16" w:rsidR="00B81E88" w:rsidRPr="00513BF0" w:rsidRDefault="00B81E88" w:rsidP="00C16FAD">
            <w:pPr>
              <w:pStyle w:val="TableParagraph"/>
              <w:spacing w:before="27"/>
              <w:ind w:left="79" w:right="69"/>
              <w:jc w:val="both"/>
              <w:rPr>
                <w:rFonts w:cs="Times New Roman"/>
                <w:sz w:val="20"/>
                <w:szCs w:val="20"/>
              </w:rPr>
            </w:pPr>
            <w:r w:rsidRPr="00513BF0">
              <w:rPr>
                <w:rFonts w:cs="Times New Roman"/>
                <w:sz w:val="20"/>
                <w:szCs w:val="20"/>
              </w:rPr>
              <w:t>What is the definition of the areas “CF” Wide Area Network? Must this be a single area, or can it be split over several patches across the country?</w:t>
            </w:r>
            <w:r w:rsidR="00C16FAD" w:rsidRPr="00513BF0">
              <w:rPr>
                <w:rFonts w:cs="Times New Roman"/>
                <w:sz w:val="20"/>
                <w:szCs w:val="20"/>
              </w:rPr>
              <w:t xml:space="preserve"> </w:t>
            </w:r>
          </w:p>
        </w:tc>
        <w:tc>
          <w:tcPr>
            <w:tcW w:w="4536" w:type="dxa"/>
          </w:tcPr>
          <w:p w14:paraId="1D7710C6" w14:textId="2E7A8333" w:rsidR="00B81E88" w:rsidRPr="00513BF0" w:rsidRDefault="00B81E88" w:rsidP="000E2B35">
            <w:pPr>
              <w:pStyle w:val="TableParagraph"/>
              <w:spacing w:before="27"/>
              <w:ind w:left="79" w:right="69"/>
              <w:jc w:val="both"/>
              <w:rPr>
                <w:rFonts w:cs="Times New Roman"/>
                <w:sz w:val="20"/>
                <w:szCs w:val="20"/>
              </w:rPr>
            </w:pPr>
            <w:r w:rsidRPr="00513BF0">
              <w:rPr>
                <w:rFonts w:cs="Times New Roman"/>
                <w:sz w:val="20"/>
                <w:szCs w:val="20"/>
              </w:rPr>
              <w:t>“CF” Wide area network comprises of a network of 600 km</w:t>
            </w:r>
            <w:r w:rsidRPr="00513BF0">
              <w:rPr>
                <w:rFonts w:cs="Times New Roman"/>
                <w:sz w:val="20"/>
                <w:szCs w:val="20"/>
                <w:vertAlign w:val="superscript"/>
              </w:rPr>
              <w:t>2</w:t>
            </w:r>
            <w:r w:rsidRPr="00513BF0">
              <w:rPr>
                <w:rFonts w:cs="Times New Roman"/>
                <w:sz w:val="20"/>
                <w:szCs w:val="20"/>
              </w:rPr>
              <w:t>&lt;A≤105,300 km</w:t>
            </w:r>
            <w:r w:rsidRPr="00513BF0">
              <w:rPr>
                <w:rFonts w:cs="Times New Roman"/>
                <w:sz w:val="20"/>
                <w:szCs w:val="20"/>
                <w:vertAlign w:val="superscript"/>
              </w:rPr>
              <w:t>2</w:t>
            </w:r>
            <w:r w:rsidRPr="00513BF0">
              <w:rPr>
                <w:rFonts w:cs="Times New Roman"/>
                <w:sz w:val="20"/>
                <w:szCs w:val="20"/>
              </w:rPr>
              <w:t xml:space="preserve"> and may comprise of a single area or be made up of several areas which amount to the size of the network as specified and in accordance with the authorized area operation stated in the service licence e.g. Erongo region.</w:t>
            </w:r>
          </w:p>
        </w:tc>
      </w:tr>
      <w:tr w:rsidR="00B81E88" w:rsidRPr="00513BF0" w14:paraId="0B20FDED" w14:textId="77777777" w:rsidTr="00B865C8">
        <w:trPr>
          <w:trHeight w:val="1306"/>
        </w:trPr>
        <w:tc>
          <w:tcPr>
            <w:tcW w:w="4111" w:type="dxa"/>
          </w:tcPr>
          <w:p w14:paraId="3DA9F1A9" w14:textId="5E462BAF" w:rsidR="00B81E88" w:rsidRPr="00513BF0" w:rsidRDefault="00B81E88" w:rsidP="00C16FAD">
            <w:pPr>
              <w:pStyle w:val="TableParagraph"/>
              <w:spacing w:before="27"/>
              <w:ind w:left="79" w:right="69"/>
              <w:jc w:val="both"/>
              <w:rPr>
                <w:rFonts w:cs="Times New Roman"/>
                <w:sz w:val="20"/>
                <w:szCs w:val="20"/>
              </w:rPr>
            </w:pPr>
            <w:r w:rsidRPr="00513BF0">
              <w:rPr>
                <w:rFonts w:cs="Times New Roman"/>
                <w:sz w:val="20"/>
                <w:szCs w:val="20"/>
              </w:rPr>
              <w:t>There are no frequencies indicated for mobile service over 3.6 GHz. Does that mean that there are no 5G networks possible for millimeter wave?</w:t>
            </w:r>
            <w:r w:rsidR="00C16FAD" w:rsidRPr="00513BF0">
              <w:rPr>
                <w:rFonts w:cs="Times New Roman"/>
                <w:sz w:val="20"/>
                <w:szCs w:val="20"/>
              </w:rPr>
              <w:t xml:space="preserve"> </w:t>
            </w:r>
          </w:p>
        </w:tc>
        <w:tc>
          <w:tcPr>
            <w:tcW w:w="4536" w:type="dxa"/>
          </w:tcPr>
          <w:p w14:paraId="01147463" w14:textId="6851E60D" w:rsidR="000E2B35" w:rsidRDefault="00B81E88" w:rsidP="000E2B35">
            <w:pPr>
              <w:pStyle w:val="TableParagraph"/>
              <w:spacing w:before="27"/>
              <w:ind w:left="79" w:right="69"/>
              <w:jc w:val="both"/>
              <w:rPr>
                <w:rFonts w:cs="Times New Roman"/>
                <w:sz w:val="20"/>
                <w:szCs w:val="20"/>
              </w:rPr>
            </w:pPr>
            <w:r w:rsidRPr="00513BF0">
              <w:rPr>
                <w:rFonts w:cs="Times New Roman"/>
                <w:sz w:val="20"/>
                <w:szCs w:val="20"/>
              </w:rPr>
              <w:t>The current frequency band plan as published on 28 October 2016 does not allow for the implementation of MOBILE services above 3.6 GHz.</w:t>
            </w:r>
            <w:r w:rsidR="000E2B35" w:rsidRPr="00513BF0">
              <w:rPr>
                <w:rFonts w:cs="Times New Roman"/>
                <w:sz w:val="20"/>
                <w:szCs w:val="20"/>
              </w:rPr>
              <w:t xml:space="preserve"> </w:t>
            </w:r>
          </w:p>
          <w:p w14:paraId="28F365FD" w14:textId="77777777" w:rsidR="00615A66" w:rsidRPr="00513BF0" w:rsidRDefault="00615A66" w:rsidP="000E2B35">
            <w:pPr>
              <w:pStyle w:val="TableParagraph"/>
              <w:spacing w:before="27"/>
              <w:ind w:left="79" w:right="69"/>
              <w:jc w:val="both"/>
              <w:rPr>
                <w:rFonts w:cs="Times New Roman"/>
                <w:sz w:val="20"/>
                <w:szCs w:val="20"/>
              </w:rPr>
            </w:pPr>
          </w:p>
          <w:p w14:paraId="78DFFCAA" w14:textId="43ED0E0D" w:rsidR="000E2B35" w:rsidRPr="00513BF0" w:rsidRDefault="00B81E88" w:rsidP="000E2B35">
            <w:pPr>
              <w:pStyle w:val="TableParagraph"/>
              <w:spacing w:before="27"/>
              <w:ind w:left="79" w:right="69"/>
              <w:jc w:val="both"/>
              <w:rPr>
                <w:rFonts w:cs="Times New Roman"/>
                <w:sz w:val="20"/>
                <w:szCs w:val="20"/>
              </w:rPr>
            </w:pPr>
            <w:r w:rsidRPr="00513BF0">
              <w:rPr>
                <w:rFonts w:cs="Times New Roman"/>
                <w:sz w:val="20"/>
                <w:szCs w:val="20"/>
              </w:rPr>
              <w:t>Once the Authority has reviewed the Frequency Band Plan to ensure compliance with the Final Acts of World Radio Conference 2019 (WRC-19), the Authority will make a decision on the assignment method to be utilised for 5G spectrum as provided for in the spectrum licensing regulations.</w:t>
            </w:r>
            <w:r w:rsidR="000E2B35" w:rsidRPr="00513BF0">
              <w:rPr>
                <w:rFonts w:cs="Times New Roman"/>
                <w:sz w:val="20"/>
                <w:szCs w:val="20"/>
              </w:rPr>
              <w:t xml:space="preserve"> </w:t>
            </w:r>
          </w:p>
          <w:p w14:paraId="6899F367" w14:textId="77777777" w:rsidR="00615A66" w:rsidRDefault="00615A66" w:rsidP="000E2B35">
            <w:pPr>
              <w:pStyle w:val="TableParagraph"/>
              <w:spacing w:before="27"/>
              <w:ind w:left="79" w:right="69"/>
              <w:jc w:val="both"/>
              <w:rPr>
                <w:rFonts w:cs="Times New Roman"/>
                <w:sz w:val="20"/>
                <w:szCs w:val="20"/>
              </w:rPr>
            </w:pPr>
          </w:p>
          <w:p w14:paraId="15020FB3" w14:textId="04451096" w:rsidR="00B81E88" w:rsidRPr="00513BF0" w:rsidRDefault="00B81E88" w:rsidP="000E2B35">
            <w:pPr>
              <w:pStyle w:val="TableParagraph"/>
              <w:spacing w:before="27"/>
              <w:ind w:left="79" w:right="69"/>
              <w:jc w:val="both"/>
              <w:rPr>
                <w:rFonts w:cs="Times New Roman"/>
                <w:sz w:val="20"/>
                <w:szCs w:val="20"/>
              </w:rPr>
            </w:pPr>
            <w:r w:rsidRPr="00513BF0">
              <w:rPr>
                <w:rFonts w:cs="Times New Roman"/>
                <w:sz w:val="20"/>
                <w:szCs w:val="20"/>
              </w:rPr>
              <w:t>Note that the regulations under discussion only apply to spectrum assigned on a first-come-first-serve basis and not to spectrum assigned by way of auction.</w:t>
            </w:r>
            <w:r w:rsidR="000E2B35" w:rsidRPr="00513BF0">
              <w:rPr>
                <w:rFonts w:cs="Times New Roman"/>
                <w:sz w:val="20"/>
                <w:szCs w:val="20"/>
              </w:rPr>
              <w:t xml:space="preserve"> </w:t>
            </w:r>
          </w:p>
        </w:tc>
      </w:tr>
      <w:tr w:rsidR="00B81E88" w:rsidRPr="00513BF0" w14:paraId="44A85F15" w14:textId="77777777" w:rsidTr="00B865C8">
        <w:trPr>
          <w:trHeight w:val="1306"/>
        </w:trPr>
        <w:tc>
          <w:tcPr>
            <w:tcW w:w="4111" w:type="dxa"/>
          </w:tcPr>
          <w:p w14:paraId="0BBA33E9" w14:textId="4254CA93" w:rsidR="00B81E88" w:rsidRPr="00513BF0" w:rsidRDefault="00B81E88" w:rsidP="00C16FAD">
            <w:pPr>
              <w:pStyle w:val="TableParagraph"/>
              <w:spacing w:before="27"/>
              <w:ind w:left="79" w:right="69"/>
              <w:jc w:val="both"/>
              <w:rPr>
                <w:rFonts w:cs="Times New Roman"/>
                <w:sz w:val="20"/>
                <w:szCs w:val="20"/>
              </w:rPr>
            </w:pPr>
            <w:r w:rsidRPr="00513BF0">
              <w:rPr>
                <w:rFonts w:cs="Times New Roman"/>
                <w:sz w:val="20"/>
                <w:szCs w:val="20"/>
              </w:rPr>
              <w:t>ISM-Band is not clearly excluded from the cost</w:t>
            </w:r>
          </w:p>
        </w:tc>
        <w:tc>
          <w:tcPr>
            <w:tcW w:w="4536" w:type="dxa"/>
          </w:tcPr>
          <w:p w14:paraId="016617B6" w14:textId="77777777" w:rsidR="00B81E88" w:rsidRPr="00513BF0" w:rsidRDefault="00B81E88" w:rsidP="000E2B35">
            <w:pPr>
              <w:jc w:val="both"/>
              <w:rPr>
                <w:rFonts w:cs="Times New Roman"/>
                <w:sz w:val="20"/>
                <w:szCs w:val="20"/>
              </w:rPr>
            </w:pPr>
            <w:r w:rsidRPr="00513BF0">
              <w:rPr>
                <w:rFonts w:cs="Times New Roman"/>
                <w:sz w:val="20"/>
                <w:szCs w:val="20"/>
              </w:rPr>
              <w:t>Although no spectrum fees are levied on licence exempt spectrum band, the Authority still incurs costs in managing the utilisation of this spectrum and enforcing adherence to technical requirements set out in the regulations. As such, the ISM-bands are not excluded from the cost of spectrum management.</w:t>
            </w:r>
          </w:p>
        </w:tc>
      </w:tr>
      <w:tr w:rsidR="00B81E88" w:rsidRPr="00513BF0" w14:paraId="685D245F" w14:textId="77777777" w:rsidTr="00B865C8">
        <w:trPr>
          <w:trHeight w:val="361"/>
        </w:trPr>
        <w:tc>
          <w:tcPr>
            <w:tcW w:w="8647" w:type="dxa"/>
            <w:gridSpan w:val="2"/>
            <w:shd w:val="clear" w:color="auto" w:fill="BFBFBF" w:themeFill="background1" w:themeFillShade="BF"/>
            <w:vAlign w:val="center"/>
          </w:tcPr>
          <w:p w14:paraId="0A548ACA" w14:textId="3826884B" w:rsidR="00B81E88" w:rsidRPr="00513BF0" w:rsidRDefault="00B81E88" w:rsidP="00D53EEC">
            <w:pPr>
              <w:pStyle w:val="TableParagraph"/>
              <w:spacing w:before="27"/>
              <w:ind w:left="79" w:right="69"/>
              <w:jc w:val="both"/>
              <w:rPr>
                <w:rFonts w:cs="Times New Roman"/>
                <w:sz w:val="20"/>
                <w:szCs w:val="20"/>
              </w:rPr>
            </w:pPr>
            <w:r w:rsidRPr="00513BF0">
              <w:rPr>
                <w:rFonts w:cs="Times New Roman"/>
                <w:b/>
                <w:sz w:val="20"/>
                <w:szCs w:val="20"/>
              </w:rPr>
              <w:t>Telecom Namibia Limited</w:t>
            </w:r>
          </w:p>
        </w:tc>
      </w:tr>
      <w:tr w:rsidR="00B81E88" w:rsidRPr="00513BF0" w14:paraId="14FEE401" w14:textId="77777777" w:rsidTr="00B865C8">
        <w:trPr>
          <w:trHeight w:val="983"/>
        </w:trPr>
        <w:tc>
          <w:tcPr>
            <w:tcW w:w="4111" w:type="dxa"/>
          </w:tcPr>
          <w:p w14:paraId="6A8D66AD" w14:textId="6726EE38" w:rsidR="00C16FAD" w:rsidRPr="00513BF0" w:rsidRDefault="00B81E88" w:rsidP="00C16FAD">
            <w:pPr>
              <w:pStyle w:val="TableParagraph"/>
              <w:spacing w:before="27"/>
              <w:ind w:left="79" w:right="69"/>
              <w:jc w:val="both"/>
              <w:rPr>
                <w:rFonts w:cs="Times New Roman"/>
                <w:sz w:val="20"/>
                <w:szCs w:val="20"/>
              </w:rPr>
            </w:pPr>
            <w:r w:rsidRPr="00513BF0">
              <w:rPr>
                <w:rFonts w:cs="Times New Roman"/>
                <w:b/>
                <w:sz w:val="20"/>
                <w:szCs w:val="20"/>
                <w:u w:val="single"/>
              </w:rPr>
              <w:t>Regulation 2(1) (c)</w:t>
            </w:r>
            <w:r w:rsidR="00C16FAD" w:rsidRPr="00513BF0">
              <w:rPr>
                <w:rFonts w:cs="Times New Roman"/>
                <w:sz w:val="20"/>
                <w:szCs w:val="20"/>
              </w:rPr>
              <w:t xml:space="preserve"> </w:t>
            </w:r>
          </w:p>
          <w:p w14:paraId="7D5E9E78" w14:textId="26A3AFDC" w:rsidR="00C16FAD" w:rsidRPr="00513BF0" w:rsidRDefault="00B81E88" w:rsidP="00C16FAD">
            <w:pPr>
              <w:pStyle w:val="TableParagraph"/>
              <w:spacing w:before="27"/>
              <w:ind w:left="79" w:right="69"/>
              <w:jc w:val="both"/>
              <w:rPr>
                <w:rFonts w:cs="Times New Roman"/>
                <w:sz w:val="20"/>
                <w:szCs w:val="20"/>
              </w:rPr>
            </w:pPr>
            <w:r w:rsidRPr="00D417A8">
              <w:rPr>
                <w:rFonts w:cs="Times New Roman"/>
                <w:i/>
                <w:sz w:val="20"/>
                <w:szCs w:val="20"/>
              </w:rPr>
              <w:t>“</w:t>
            </w:r>
            <w:r w:rsidRPr="00513BF0">
              <w:rPr>
                <w:rFonts w:cs="Times New Roman"/>
                <w:i/>
                <w:sz w:val="20"/>
                <w:szCs w:val="20"/>
              </w:rPr>
              <w:t xml:space="preserve">The objects and application of the regulation is to set spectrum fees by taking into account the demand for radio frequency spectrum in a given spectrum band and the impact of inflation as indicated </w:t>
            </w:r>
            <w:r w:rsidRPr="00513BF0">
              <w:rPr>
                <w:rFonts w:cs="Times New Roman"/>
                <w:i/>
                <w:spacing w:val="-7"/>
                <w:sz w:val="20"/>
                <w:szCs w:val="20"/>
              </w:rPr>
              <w:t xml:space="preserve">by </w:t>
            </w:r>
            <w:r w:rsidRPr="00513BF0">
              <w:rPr>
                <w:rFonts w:cs="Times New Roman"/>
                <w:i/>
                <w:sz w:val="20"/>
                <w:szCs w:val="20"/>
              </w:rPr>
              <w:t xml:space="preserve">the annual consumer price index published by </w:t>
            </w:r>
            <w:r w:rsidRPr="00513BF0">
              <w:rPr>
                <w:rFonts w:cs="Times New Roman"/>
                <w:i/>
                <w:spacing w:val="-5"/>
                <w:sz w:val="20"/>
                <w:szCs w:val="20"/>
              </w:rPr>
              <w:t xml:space="preserve">the </w:t>
            </w:r>
            <w:r w:rsidRPr="00513BF0">
              <w:rPr>
                <w:rFonts w:cs="Times New Roman"/>
                <w:i/>
                <w:sz w:val="20"/>
                <w:szCs w:val="20"/>
              </w:rPr>
              <w:t>Namibia</w:t>
            </w:r>
            <w:r w:rsidRPr="00513BF0">
              <w:rPr>
                <w:rFonts w:cs="Times New Roman"/>
                <w:i/>
                <w:spacing w:val="-9"/>
                <w:sz w:val="20"/>
                <w:szCs w:val="20"/>
              </w:rPr>
              <w:t xml:space="preserve"> </w:t>
            </w:r>
            <w:r w:rsidRPr="00513BF0">
              <w:rPr>
                <w:rFonts w:cs="Times New Roman"/>
                <w:i/>
                <w:sz w:val="20"/>
                <w:szCs w:val="20"/>
              </w:rPr>
              <w:t>Statistics</w:t>
            </w:r>
            <w:r w:rsidRPr="00513BF0">
              <w:rPr>
                <w:rFonts w:cs="Times New Roman"/>
                <w:i/>
                <w:spacing w:val="-12"/>
                <w:sz w:val="20"/>
                <w:szCs w:val="20"/>
              </w:rPr>
              <w:t xml:space="preserve"> </w:t>
            </w:r>
            <w:r w:rsidRPr="00513BF0">
              <w:rPr>
                <w:rFonts w:cs="Times New Roman"/>
                <w:i/>
                <w:sz w:val="20"/>
                <w:szCs w:val="20"/>
              </w:rPr>
              <w:t>Agency</w:t>
            </w:r>
            <w:r w:rsidRPr="00513BF0">
              <w:rPr>
                <w:rFonts w:cs="Times New Roman"/>
                <w:i/>
                <w:spacing w:val="-9"/>
                <w:sz w:val="20"/>
                <w:szCs w:val="20"/>
              </w:rPr>
              <w:t xml:space="preserve"> </w:t>
            </w:r>
            <w:r w:rsidRPr="00513BF0">
              <w:rPr>
                <w:rFonts w:cs="Times New Roman"/>
                <w:i/>
                <w:sz w:val="20"/>
                <w:szCs w:val="20"/>
              </w:rPr>
              <w:t>on</w:t>
            </w:r>
            <w:r w:rsidRPr="00513BF0">
              <w:rPr>
                <w:rFonts w:cs="Times New Roman"/>
                <w:i/>
                <w:spacing w:val="-9"/>
                <w:sz w:val="20"/>
                <w:szCs w:val="20"/>
              </w:rPr>
              <w:t xml:space="preserve"> </w:t>
            </w:r>
            <w:r w:rsidRPr="00513BF0">
              <w:rPr>
                <w:rFonts w:cs="Times New Roman"/>
                <w:i/>
                <w:sz w:val="20"/>
                <w:szCs w:val="20"/>
              </w:rPr>
              <w:t>its</w:t>
            </w:r>
            <w:r w:rsidRPr="00513BF0">
              <w:rPr>
                <w:rFonts w:cs="Times New Roman"/>
                <w:i/>
                <w:spacing w:val="-8"/>
                <w:sz w:val="20"/>
                <w:szCs w:val="20"/>
              </w:rPr>
              <w:t xml:space="preserve"> </w:t>
            </w:r>
            <w:r w:rsidRPr="00513BF0">
              <w:rPr>
                <w:rFonts w:cs="Times New Roman"/>
                <w:i/>
                <w:sz w:val="20"/>
                <w:szCs w:val="20"/>
              </w:rPr>
              <w:t>official</w:t>
            </w:r>
            <w:r w:rsidRPr="00513BF0">
              <w:rPr>
                <w:rFonts w:cs="Times New Roman"/>
                <w:i/>
                <w:spacing w:val="-9"/>
                <w:sz w:val="20"/>
                <w:szCs w:val="20"/>
              </w:rPr>
              <w:t xml:space="preserve"> </w:t>
            </w:r>
            <w:r w:rsidRPr="00513BF0">
              <w:rPr>
                <w:rFonts w:cs="Times New Roman"/>
                <w:i/>
                <w:sz w:val="20"/>
                <w:szCs w:val="20"/>
              </w:rPr>
              <w:t>website</w:t>
            </w:r>
            <w:r w:rsidRPr="00513BF0">
              <w:rPr>
                <w:rFonts w:cs="Times New Roman"/>
                <w:i/>
                <w:spacing w:val="-9"/>
                <w:sz w:val="20"/>
                <w:szCs w:val="20"/>
              </w:rPr>
              <w:t xml:space="preserve"> </w:t>
            </w:r>
            <w:r w:rsidRPr="00513BF0">
              <w:rPr>
                <w:rFonts w:cs="Times New Roman"/>
                <w:i/>
                <w:sz w:val="20"/>
                <w:szCs w:val="20"/>
              </w:rPr>
              <w:t>from time to time”</w:t>
            </w:r>
            <w:r w:rsidR="00C16FAD" w:rsidRPr="00513BF0">
              <w:rPr>
                <w:rFonts w:cs="Times New Roman"/>
                <w:sz w:val="20"/>
                <w:szCs w:val="20"/>
              </w:rPr>
              <w:t xml:space="preserve"> </w:t>
            </w:r>
          </w:p>
          <w:p w14:paraId="63C6B4EF" w14:textId="77777777" w:rsidR="00AB2DE2" w:rsidRPr="00513BF0" w:rsidRDefault="00AB2DE2" w:rsidP="00AB2DE2">
            <w:pPr>
              <w:pStyle w:val="TableParagraph"/>
              <w:spacing w:before="27"/>
              <w:ind w:left="79" w:right="69"/>
              <w:jc w:val="both"/>
              <w:rPr>
                <w:rFonts w:cs="Times New Roman"/>
                <w:sz w:val="20"/>
                <w:szCs w:val="20"/>
              </w:rPr>
            </w:pPr>
          </w:p>
          <w:p w14:paraId="2E7F9C8A" w14:textId="77777777" w:rsidR="00C16FAD" w:rsidRPr="00513BF0" w:rsidRDefault="00B81E88" w:rsidP="00C16FAD">
            <w:pPr>
              <w:pStyle w:val="TableParagraph"/>
              <w:spacing w:before="27"/>
              <w:ind w:left="79" w:right="69"/>
              <w:jc w:val="both"/>
              <w:rPr>
                <w:rFonts w:cs="Times New Roman"/>
                <w:sz w:val="20"/>
                <w:szCs w:val="20"/>
              </w:rPr>
            </w:pPr>
            <w:r w:rsidRPr="00513BF0">
              <w:rPr>
                <w:rFonts w:cs="Times New Roman"/>
                <w:sz w:val="20"/>
                <w:szCs w:val="20"/>
              </w:rPr>
              <w:t xml:space="preserve">We submit that the proposed factors that will be considered in setting spectrum fees are too limited. There are various other factors that the Authority must consider in determining spectrum fees. This include, </w:t>
            </w:r>
            <w:r w:rsidRPr="00513BF0">
              <w:rPr>
                <w:rFonts w:cs="Times New Roman"/>
                <w:i/>
                <w:sz w:val="20"/>
                <w:szCs w:val="20"/>
              </w:rPr>
              <w:t>inter alia</w:t>
            </w:r>
          </w:p>
          <w:p w14:paraId="638A93CB" w14:textId="4C4C8463" w:rsidR="00B81E88" w:rsidRPr="00513BF0" w:rsidRDefault="00B81E88" w:rsidP="0071745C">
            <w:pPr>
              <w:pStyle w:val="TableParagraph"/>
              <w:rPr>
                <w:rFonts w:cs="Times New Roman"/>
                <w:sz w:val="20"/>
                <w:szCs w:val="20"/>
              </w:rPr>
            </w:pPr>
          </w:p>
          <w:p w14:paraId="45597EBF" w14:textId="15604932" w:rsidR="00C16FAD" w:rsidRPr="00513BF0" w:rsidRDefault="00B81E88" w:rsidP="00C16FAD">
            <w:pPr>
              <w:pStyle w:val="TableParagraph"/>
              <w:spacing w:before="27"/>
              <w:ind w:left="567" w:right="69" w:hanging="488"/>
              <w:jc w:val="both"/>
              <w:rPr>
                <w:rFonts w:cs="Times New Roman"/>
                <w:sz w:val="20"/>
                <w:szCs w:val="20"/>
              </w:rPr>
            </w:pPr>
            <w:r w:rsidRPr="00D417A8">
              <w:rPr>
                <w:sz w:val="20"/>
              </w:rPr>
              <w:t xml:space="preserve">a. </w:t>
            </w:r>
            <w:r w:rsidR="000E2B35">
              <w:tab/>
            </w:r>
            <w:r w:rsidRPr="00D417A8">
              <w:rPr>
                <w:sz w:val="20"/>
              </w:rPr>
              <w:t xml:space="preserve">Anticipated management costs for the spectrum: The Authority must consider that the purpose of the fees collected from spectrum users on annual basis should be specifically geared to recover cost of spectrum management activities of the </w:t>
            </w:r>
            <w:r w:rsidRPr="00D417A8">
              <w:rPr>
                <w:spacing w:val="-3"/>
                <w:sz w:val="20"/>
              </w:rPr>
              <w:t xml:space="preserve">Authority, </w:t>
            </w:r>
            <w:r w:rsidRPr="00D417A8">
              <w:rPr>
                <w:sz w:val="20"/>
              </w:rPr>
              <w:t>in an effort to defer expenses only</w:t>
            </w:r>
            <w:r w:rsidRPr="00D417A8">
              <w:rPr>
                <w:spacing w:val="-26"/>
                <w:sz w:val="20"/>
              </w:rPr>
              <w:t xml:space="preserve"> </w:t>
            </w:r>
            <w:r w:rsidRPr="00D417A8">
              <w:rPr>
                <w:sz w:val="20"/>
              </w:rPr>
              <w:t>and not for the purpose of generating profit from</w:t>
            </w:r>
            <w:r w:rsidRPr="00D417A8">
              <w:rPr>
                <w:spacing w:val="-11"/>
                <w:sz w:val="20"/>
              </w:rPr>
              <w:t xml:space="preserve"> </w:t>
            </w:r>
            <w:r w:rsidRPr="00D417A8">
              <w:rPr>
                <w:sz w:val="20"/>
              </w:rPr>
              <w:t>that activity.</w:t>
            </w:r>
            <w:r w:rsidR="00C16FAD" w:rsidRPr="00513BF0">
              <w:rPr>
                <w:rFonts w:cs="Times New Roman"/>
                <w:sz w:val="20"/>
                <w:szCs w:val="20"/>
              </w:rPr>
              <w:t xml:space="preserve"> </w:t>
            </w:r>
          </w:p>
          <w:p w14:paraId="0BA6EE90" w14:textId="0B43DBF2" w:rsidR="00B81E88" w:rsidRPr="00C16FAD" w:rsidRDefault="00B81E88" w:rsidP="00C16FAD">
            <w:pPr>
              <w:pStyle w:val="REG-P0"/>
              <w:rPr>
                <w:sz w:val="20"/>
              </w:rPr>
            </w:pPr>
          </w:p>
          <w:p w14:paraId="1E1AB300" w14:textId="2A85F17E" w:rsidR="00B81E88" w:rsidRPr="00C16FAD" w:rsidRDefault="00B81E88" w:rsidP="00AB2DE2">
            <w:pPr>
              <w:pStyle w:val="TableParagraph"/>
              <w:spacing w:before="27"/>
              <w:ind w:left="567" w:right="69" w:hanging="488"/>
              <w:jc w:val="both"/>
              <w:rPr>
                <w:rFonts w:cs="Times New Roman"/>
                <w:sz w:val="20"/>
                <w:szCs w:val="20"/>
              </w:rPr>
            </w:pPr>
            <w:r w:rsidRPr="00D417A8">
              <w:rPr>
                <w:sz w:val="20"/>
              </w:rPr>
              <w:t xml:space="preserve">b. </w:t>
            </w:r>
            <w:r w:rsidR="000E2B35">
              <w:tab/>
            </w:r>
            <w:r w:rsidRPr="00D417A8">
              <w:rPr>
                <w:sz w:val="20"/>
              </w:rPr>
              <w:t xml:space="preserve">Promoting economic and technical efficiency: The Authority should consider the impact that current and changing levels of fees will have on the viability of particular segments of the </w:t>
            </w:r>
            <w:r w:rsidRPr="00D417A8">
              <w:rPr>
                <w:spacing w:val="11"/>
                <w:sz w:val="20"/>
              </w:rPr>
              <w:t>telecommunications/radio-</w:t>
            </w:r>
            <w:r w:rsidR="00C16FAD">
              <w:rPr>
                <w:spacing w:val="11"/>
                <w:sz w:val="20"/>
              </w:rPr>
              <w:t>c</w:t>
            </w:r>
            <w:r w:rsidRPr="00D417A8">
              <w:rPr>
                <w:spacing w:val="11"/>
                <w:sz w:val="20"/>
              </w:rPr>
              <w:t xml:space="preserve">ommunications </w:t>
            </w:r>
            <w:r w:rsidRPr="00D417A8">
              <w:rPr>
                <w:sz w:val="20"/>
              </w:rPr>
              <w:t xml:space="preserve">sector as well as the overall economic climates of the Country. Spectrum fees set too high combined with income taxes, </w:t>
            </w:r>
            <w:r w:rsidRPr="00D417A8">
              <w:rPr>
                <w:spacing w:val="-16"/>
                <w:sz w:val="20"/>
              </w:rPr>
              <w:t xml:space="preserve">VAT, </w:t>
            </w:r>
            <w:r w:rsidRPr="00D417A8">
              <w:rPr>
                <w:sz w:val="20"/>
              </w:rPr>
              <w:t>regulatory fees, and other charges can negatively impact growth, opportunities and attractiveness, sector evaluations and investment levels.</w:t>
            </w:r>
            <w:r w:rsidR="00C16FAD" w:rsidRPr="00513BF0">
              <w:rPr>
                <w:rFonts w:cs="Times New Roman"/>
                <w:sz w:val="20"/>
                <w:szCs w:val="20"/>
              </w:rPr>
              <w:t xml:space="preserve"> </w:t>
            </w:r>
          </w:p>
        </w:tc>
        <w:tc>
          <w:tcPr>
            <w:tcW w:w="4536" w:type="dxa"/>
          </w:tcPr>
          <w:p w14:paraId="0151D2AF" w14:textId="77777777" w:rsidR="00B81E88" w:rsidRPr="00513BF0" w:rsidRDefault="00B81E88" w:rsidP="000E2B35">
            <w:pPr>
              <w:pStyle w:val="TableParagraph"/>
              <w:spacing w:before="27"/>
              <w:ind w:left="79" w:right="69"/>
              <w:jc w:val="both"/>
              <w:rPr>
                <w:rFonts w:cs="Times New Roman"/>
                <w:sz w:val="20"/>
                <w:szCs w:val="20"/>
              </w:rPr>
            </w:pPr>
            <w:r w:rsidRPr="00513BF0">
              <w:rPr>
                <w:rFonts w:cs="Times New Roman"/>
                <w:sz w:val="20"/>
                <w:szCs w:val="20"/>
              </w:rPr>
              <w:t>The Authority has specifically taken into account</w:t>
            </w:r>
            <w:r w:rsidRPr="00513BF0">
              <w:rPr>
                <w:rFonts w:cs="Times New Roman"/>
                <w:spacing w:val="-34"/>
                <w:sz w:val="20"/>
                <w:szCs w:val="20"/>
              </w:rPr>
              <w:t xml:space="preserve"> </w:t>
            </w:r>
            <w:r w:rsidRPr="00513BF0">
              <w:rPr>
                <w:rFonts w:cs="Times New Roman"/>
                <w:sz w:val="20"/>
                <w:szCs w:val="20"/>
              </w:rPr>
              <w:t>the total cost of spectrum</w:t>
            </w:r>
            <w:r w:rsidRPr="00513BF0">
              <w:rPr>
                <w:rFonts w:cs="Times New Roman"/>
                <w:spacing w:val="-2"/>
                <w:sz w:val="20"/>
                <w:szCs w:val="20"/>
              </w:rPr>
              <w:t xml:space="preserve"> </w:t>
            </w:r>
            <w:r w:rsidRPr="00513BF0">
              <w:rPr>
                <w:rFonts w:cs="Times New Roman"/>
                <w:sz w:val="20"/>
                <w:szCs w:val="20"/>
              </w:rPr>
              <w:t>management.</w:t>
            </w:r>
          </w:p>
          <w:p w14:paraId="14B3C786" w14:textId="77777777" w:rsidR="00AB2DE2" w:rsidRPr="00513BF0" w:rsidRDefault="00AB2DE2" w:rsidP="00AB2DE2">
            <w:pPr>
              <w:pStyle w:val="TableParagraph"/>
              <w:spacing w:before="27"/>
              <w:ind w:left="79" w:right="69"/>
              <w:jc w:val="both"/>
              <w:rPr>
                <w:rFonts w:cs="Times New Roman"/>
                <w:sz w:val="20"/>
                <w:szCs w:val="20"/>
              </w:rPr>
            </w:pPr>
          </w:p>
          <w:p w14:paraId="5B89A359" w14:textId="77777777" w:rsidR="00B81E88" w:rsidRPr="00513BF0" w:rsidRDefault="00B81E88" w:rsidP="0071745C">
            <w:pPr>
              <w:pStyle w:val="TableParagraph"/>
              <w:ind w:left="79" w:right="67"/>
              <w:jc w:val="both"/>
              <w:rPr>
                <w:rFonts w:cs="Times New Roman"/>
                <w:sz w:val="20"/>
                <w:szCs w:val="20"/>
              </w:rPr>
            </w:pPr>
            <w:r w:rsidRPr="00513BF0">
              <w:rPr>
                <w:rFonts w:cs="Times New Roman"/>
                <w:sz w:val="20"/>
                <w:szCs w:val="20"/>
              </w:rPr>
              <w:t>The spectrum fees have also taken into account the tendency to hoard spectrum and inefficient utilisation of spectrum by licensees, and thus set</w:t>
            </w:r>
            <w:r w:rsidRPr="00513BF0">
              <w:rPr>
                <w:rFonts w:cs="Times New Roman"/>
                <w:spacing w:val="-26"/>
                <w:sz w:val="20"/>
                <w:szCs w:val="20"/>
              </w:rPr>
              <w:t xml:space="preserve"> </w:t>
            </w:r>
            <w:r w:rsidRPr="00513BF0">
              <w:rPr>
                <w:rFonts w:cs="Times New Roman"/>
                <w:sz w:val="20"/>
                <w:szCs w:val="20"/>
              </w:rPr>
              <w:t>fees to discourage this practice and encourage licensees to only hold the amount of spectrum necessary to provide their</w:t>
            </w:r>
            <w:r w:rsidRPr="00513BF0">
              <w:rPr>
                <w:rFonts w:cs="Times New Roman"/>
                <w:spacing w:val="-1"/>
                <w:sz w:val="20"/>
                <w:szCs w:val="20"/>
              </w:rPr>
              <w:t xml:space="preserve"> </w:t>
            </w:r>
            <w:r w:rsidRPr="00513BF0">
              <w:rPr>
                <w:rFonts w:cs="Times New Roman"/>
                <w:sz w:val="20"/>
                <w:szCs w:val="20"/>
              </w:rPr>
              <w:t>services.</w:t>
            </w:r>
          </w:p>
          <w:p w14:paraId="3F3CBD1F" w14:textId="77777777" w:rsidR="00AB2DE2" w:rsidRPr="00513BF0" w:rsidRDefault="00AB2DE2" w:rsidP="00AB2DE2">
            <w:pPr>
              <w:pStyle w:val="TableParagraph"/>
              <w:spacing w:before="27"/>
              <w:ind w:left="79" w:right="69"/>
              <w:jc w:val="both"/>
              <w:rPr>
                <w:rFonts w:cs="Times New Roman"/>
                <w:sz w:val="20"/>
                <w:szCs w:val="20"/>
              </w:rPr>
            </w:pPr>
          </w:p>
          <w:p w14:paraId="70FC2AB2" w14:textId="77777777" w:rsidR="00B81E88" w:rsidRPr="00513BF0" w:rsidRDefault="00B81E88" w:rsidP="00615A66">
            <w:pPr>
              <w:ind w:left="79"/>
              <w:jc w:val="both"/>
              <w:rPr>
                <w:rFonts w:cs="Times New Roman"/>
                <w:sz w:val="20"/>
                <w:szCs w:val="20"/>
              </w:rPr>
            </w:pPr>
            <w:r w:rsidRPr="00513BF0">
              <w:rPr>
                <w:rFonts w:cs="Times New Roman"/>
                <w:sz w:val="20"/>
                <w:szCs w:val="20"/>
              </w:rPr>
              <w:t>Spectrum is a finite resource and therefore it is important that the demand for certain bands of spectrum must be considered when determining the value and price of such spectrum. The Authority has taken into consideration the total cost of managing spectrum and has determined the prices and value of spectrum based on economic and technical factors.</w:t>
            </w:r>
          </w:p>
        </w:tc>
      </w:tr>
      <w:tr w:rsidR="00B81E88" w:rsidRPr="00513BF0" w14:paraId="2561E588" w14:textId="77777777" w:rsidTr="00B865C8">
        <w:trPr>
          <w:trHeight w:val="1306"/>
        </w:trPr>
        <w:tc>
          <w:tcPr>
            <w:tcW w:w="4111" w:type="dxa"/>
          </w:tcPr>
          <w:p w14:paraId="5CC6FE41" w14:textId="102760D3" w:rsidR="00C16FAD" w:rsidRPr="00513BF0" w:rsidRDefault="00B81E88" w:rsidP="00C16FAD">
            <w:pPr>
              <w:pStyle w:val="TableParagraph"/>
              <w:spacing w:before="27"/>
              <w:ind w:left="79" w:right="69"/>
              <w:jc w:val="both"/>
              <w:rPr>
                <w:rFonts w:cs="Times New Roman"/>
                <w:sz w:val="20"/>
                <w:szCs w:val="20"/>
              </w:rPr>
            </w:pPr>
            <w:r w:rsidRPr="00513BF0">
              <w:rPr>
                <w:rFonts w:cs="Times New Roman"/>
                <w:b/>
                <w:sz w:val="20"/>
                <w:szCs w:val="20"/>
                <w:u w:val="single"/>
              </w:rPr>
              <w:t>Regulation 3(3)(a)</w:t>
            </w:r>
            <w:r w:rsidR="00C16FAD" w:rsidRPr="00513BF0">
              <w:rPr>
                <w:rFonts w:cs="Times New Roman"/>
                <w:sz w:val="20"/>
                <w:szCs w:val="20"/>
              </w:rPr>
              <w:t xml:space="preserve"> </w:t>
            </w:r>
          </w:p>
          <w:p w14:paraId="3C0180FA" w14:textId="20BDC592" w:rsidR="00C16FAD" w:rsidRPr="00513BF0" w:rsidRDefault="00B81E88" w:rsidP="00C16FAD">
            <w:pPr>
              <w:pStyle w:val="TableParagraph"/>
              <w:spacing w:before="27"/>
              <w:ind w:left="79" w:right="69"/>
              <w:jc w:val="both"/>
              <w:rPr>
                <w:rFonts w:cs="Times New Roman"/>
                <w:sz w:val="20"/>
                <w:szCs w:val="20"/>
              </w:rPr>
            </w:pPr>
            <w:r w:rsidRPr="00513BF0">
              <w:rPr>
                <w:rFonts w:cs="Times New Roman"/>
                <w:i/>
                <w:sz w:val="20"/>
                <w:szCs w:val="20"/>
              </w:rPr>
              <w:t xml:space="preserve">“These Regulations prescribe the following fees payable to the Authority – (a) annual  and  </w:t>
            </w:r>
            <w:r w:rsidRPr="00513BF0">
              <w:rPr>
                <w:rFonts w:cs="Times New Roman"/>
                <w:i/>
                <w:sz w:val="20"/>
                <w:szCs w:val="20"/>
                <w:u w:val="single"/>
              </w:rPr>
              <w:t>other</w:t>
            </w:r>
            <w:r w:rsidRPr="00513BF0">
              <w:rPr>
                <w:rFonts w:cs="Times New Roman"/>
                <w:i/>
                <w:sz w:val="20"/>
                <w:szCs w:val="20"/>
              </w:rPr>
              <w:t xml:space="preserve"> </w:t>
            </w:r>
            <w:r w:rsidRPr="00513BF0">
              <w:rPr>
                <w:rFonts w:cs="Times New Roman"/>
                <w:i/>
                <w:sz w:val="20"/>
                <w:szCs w:val="20"/>
                <w:u w:val="single"/>
              </w:rPr>
              <w:t>fees payable</w:t>
            </w:r>
            <w:r w:rsidRPr="00513BF0">
              <w:rPr>
                <w:rFonts w:cs="Times New Roman"/>
                <w:i/>
                <w:sz w:val="20"/>
                <w:szCs w:val="20"/>
              </w:rPr>
              <w:t xml:space="preserve"> (our own emphasis) with regard to the authorisation to utilise radio frequency spectrum conferred under the spectrum licence”</w:t>
            </w:r>
            <w:r w:rsidR="00C16FAD" w:rsidRPr="00513BF0">
              <w:rPr>
                <w:rFonts w:cs="Times New Roman"/>
                <w:sz w:val="20"/>
                <w:szCs w:val="20"/>
              </w:rPr>
              <w:t xml:space="preserve"> </w:t>
            </w:r>
          </w:p>
          <w:p w14:paraId="5485E889" w14:textId="7EA28627" w:rsidR="00B81E88" w:rsidRPr="00513BF0" w:rsidRDefault="00B81E88" w:rsidP="0071745C">
            <w:pPr>
              <w:pStyle w:val="TableParagraph"/>
              <w:spacing w:before="23"/>
              <w:ind w:left="80"/>
              <w:jc w:val="both"/>
              <w:rPr>
                <w:rFonts w:cs="Times New Roman"/>
                <w:sz w:val="20"/>
                <w:szCs w:val="20"/>
              </w:rPr>
            </w:pPr>
          </w:p>
          <w:p w14:paraId="3036A770" w14:textId="4A7185C9" w:rsidR="00B81E88" w:rsidRPr="00513BF0" w:rsidRDefault="00B81E88" w:rsidP="00AB2DE2">
            <w:pPr>
              <w:pStyle w:val="TableParagraph"/>
              <w:spacing w:before="23"/>
              <w:ind w:left="80"/>
              <w:jc w:val="both"/>
              <w:rPr>
                <w:rFonts w:cs="Times New Roman"/>
                <w:sz w:val="20"/>
                <w:szCs w:val="20"/>
              </w:rPr>
            </w:pPr>
            <w:r w:rsidRPr="00513BF0">
              <w:rPr>
                <w:rFonts w:cs="Times New Roman"/>
                <w:sz w:val="20"/>
                <w:szCs w:val="20"/>
              </w:rPr>
              <w:t xml:space="preserve">We submit that for the sake of transparency and fairness of what is payable, the Regulations must explicitly identify the </w:t>
            </w:r>
            <w:r w:rsidRPr="00513BF0">
              <w:rPr>
                <w:rFonts w:cs="Times New Roman"/>
                <w:sz w:val="20"/>
                <w:szCs w:val="20"/>
                <w:u w:val="single"/>
              </w:rPr>
              <w:t>other fees payable</w:t>
            </w:r>
            <w:r w:rsidRPr="00513BF0">
              <w:rPr>
                <w:rFonts w:cs="Times New Roman"/>
                <w:sz w:val="20"/>
                <w:szCs w:val="20"/>
              </w:rPr>
              <w:t>, as indicated in the aforesaid regulation.</w:t>
            </w:r>
            <w:r w:rsidR="00AB2DE2" w:rsidRPr="00513BF0">
              <w:rPr>
                <w:rFonts w:cs="Times New Roman"/>
                <w:sz w:val="20"/>
                <w:szCs w:val="20"/>
              </w:rPr>
              <w:t xml:space="preserve"> </w:t>
            </w:r>
          </w:p>
        </w:tc>
        <w:tc>
          <w:tcPr>
            <w:tcW w:w="4536" w:type="dxa"/>
          </w:tcPr>
          <w:p w14:paraId="3BC23B18" w14:textId="25D5C771" w:rsidR="00B81E88"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Other fees payable are set out in the Table 1 under regulation 4. Point 9 titled “MISCELLANEOUS” refers.</w:t>
            </w:r>
            <w:r w:rsidR="007C17D5" w:rsidRPr="00513BF0">
              <w:rPr>
                <w:rFonts w:cs="Times New Roman"/>
                <w:sz w:val="20"/>
                <w:szCs w:val="20"/>
              </w:rPr>
              <w:t xml:space="preserve"> </w:t>
            </w:r>
          </w:p>
        </w:tc>
      </w:tr>
      <w:tr w:rsidR="00B81E88" w:rsidRPr="00513BF0" w14:paraId="54F7F624" w14:textId="77777777" w:rsidTr="00B865C8">
        <w:trPr>
          <w:trHeight w:val="1306"/>
        </w:trPr>
        <w:tc>
          <w:tcPr>
            <w:tcW w:w="4111" w:type="dxa"/>
          </w:tcPr>
          <w:p w14:paraId="37AF55C5" w14:textId="588AEB21" w:rsidR="00B81E88" w:rsidRPr="007C17D5" w:rsidRDefault="00B81E88" w:rsidP="007C17D5">
            <w:pPr>
              <w:pStyle w:val="TableParagraph"/>
              <w:spacing w:before="27"/>
              <w:ind w:left="79" w:right="69"/>
              <w:jc w:val="both"/>
              <w:rPr>
                <w:rFonts w:cs="Times New Roman"/>
                <w:sz w:val="20"/>
                <w:szCs w:val="20"/>
              </w:rPr>
            </w:pPr>
            <w:r w:rsidRPr="00513BF0">
              <w:rPr>
                <w:rFonts w:cs="Times New Roman"/>
                <w:sz w:val="20"/>
                <w:szCs w:val="20"/>
              </w:rPr>
              <w:t xml:space="preserve">Immarsat terminal fees as indicated in </w:t>
            </w:r>
            <w:r w:rsidRPr="00513BF0">
              <w:rPr>
                <w:rFonts w:cs="Times New Roman"/>
                <w:spacing w:val="-3"/>
                <w:sz w:val="20"/>
                <w:szCs w:val="20"/>
              </w:rPr>
              <w:t xml:space="preserve">Table </w:t>
            </w:r>
            <w:r w:rsidRPr="00513BF0">
              <w:rPr>
                <w:rFonts w:cs="Times New Roman"/>
                <w:sz w:val="20"/>
                <w:szCs w:val="20"/>
              </w:rPr>
              <w:t>1; Clause 7.1 indicate that the proposed annual, fee per terminal which is currently charged as N$1,163.00 per terminal per annum, will increase to</w:t>
            </w:r>
            <w:r w:rsidRPr="00513BF0">
              <w:rPr>
                <w:rFonts w:cs="Times New Roman"/>
                <w:spacing w:val="-31"/>
                <w:sz w:val="20"/>
                <w:szCs w:val="20"/>
              </w:rPr>
              <w:t xml:space="preserve"> </w:t>
            </w:r>
            <w:r w:rsidRPr="00513BF0">
              <w:rPr>
                <w:rFonts w:cs="Times New Roman"/>
                <w:sz w:val="20"/>
                <w:szCs w:val="20"/>
              </w:rPr>
              <w:t>N$1,425.00. This represents an increment of 18%, which in our opinion is extreme and unreasonable. While</w:t>
            </w:r>
            <w:r w:rsidRPr="00513BF0">
              <w:rPr>
                <w:rFonts w:cs="Times New Roman"/>
                <w:spacing w:val="-34"/>
                <w:sz w:val="20"/>
                <w:szCs w:val="20"/>
              </w:rPr>
              <w:t xml:space="preserve"> </w:t>
            </w:r>
            <w:r w:rsidRPr="00513BF0">
              <w:rPr>
                <w:rFonts w:cs="Times New Roman"/>
                <w:spacing w:val="-4"/>
                <w:sz w:val="20"/>
                <w:szCs w:val="20"/>
              </w:rPr>
              <w:t xml:space="preserve">Telecom </w:t>
            </w:r>
            <w:r w:rsidRPr="00513BF0">
              <w:rPr>
                <w:rFonts w:cs="Times New Roman"/>
                <w:sz w:val="20"/>
                <w:szCs w:val="20"/>
              </w:rPr>
              <w:t>appreciates that the Authority must defer its costs</w:t>
            </w:r>
            <w:r w:rsidRPr="00513BF0">
              <w:rPr>
                <w:rFonts w:cs="Times New Roman"/>
                <w:spacing w:val="-32"/>
                <w:sz w:val="20"/>
                <w:szCs w:val="20"/>
              </w:rPr>
              <w:t xml:space="preserve"> </w:t>
            </w:r>
            <w:r w:rsidRPr="00513BF0">
              <w:rPr>
                <w:rFonts w:cs="Times New Roman"/>
                <w:sz w:val="20"/>
                <w:szCs w:val="20"/>
              </w:rPr>
              <w:t>for management of the spectrum, it is equally important to consider the financial impact that changing levels of fees will have on participants within segments of the telecommunications/ radio-communications sector, particularly during these challenging economic times. Furthermore, it is important to understand that the determination of spectrum prices and establishment of spectrum fees are close linked to</w:t>
            </w:r>
            <w:r w:rsidRPr="00513BF0">
              <w:rPr>
                <w:rFonts w:cs="Times New Roman"/>
                <w:spacing w:val="-6"/>
                <w:sz w:val="20"/>
                <w:szCs w:val="20"/>
              </w:rPr>
              <w:t xml:space="preserve"> </w:t>
            </w:r>
            <w:r w:rsidRPr="00513BF0">
              <w:rPr>
                <w:rFonts w:cs="Times New Roman"/>
                <w:sz w:val="20"/>
                <w:szCs w:val="20"/>
              </w:rPr>
              <w:t>and</w:t>
            </w:r>
            <w:r w:rsidRPr="00513BF0">
              <w:rPr>
                <w:rFonts w:cs="Times New Roman"/>
                <w:spacing w:val="-6"/>
                <w:sz w:val="20"/>
                <w:szCs w:val="20"/>
              </w:rPr>
              <w:t xml:space="preserve"> </w:t>
            </w:r>
            <w:r w:rsidRPr="00513BF0">
              <w:rPr>
                <w:rFonts w:cs="Times New Roman"/>
                <w:sz w:val="20"/>
                <w:szCs w:val="20"/>
              </w:rPr>
              <w:t>must</w:t>
            </w:r>
            <w:r w:rsidRPr="00513BF0">
              <w:rPr>
                <w:rFonts w:cs="Times New Roman"/>
                <w:spacing w:val="-6"/>
                <w:sz w:val="20"/>
                <w:szCs w:val="20"/>
              </w:rPr>
              <w:t xml:space="preserve"> </w:t>
            </w:r>
            <w:r w:rsidRPr="00513BF0">
              <w:rPr>
                <w:rFonts w:cs="Times New Roman"/>
                <w:sz w:val="20"/>
                <w:szCs w:val="20"/>
              </w:rPr>
              <w:t>be</w:t>
            </w:r>
            <w:r w:rsidRPr="00513BF0">
              <w:rPr>
                <w:rFonts w:cs="Times New Roman"/>
                <w:spacing w:val="-6"/>
                <w:sz w:val="20"/>
                <w:szCs w:val="20"/>
              </w:rPr>
              <w:t xml:space="preserve"> </w:t>
            </w:r>
            <w:r w:rsidRPr="00513BF0">
              <w:rPr>
                <w:rFonts w:cs="Times New Roman"/>
                <w:sz w:val="20"/>
                <w:szCs w:val="20"/>
              </w:rPr>
              <w:t>informed</w:t>
            </w:r>
            <w:r w:rsidRPr="00513BF0">
              <w:rPr>
                <w:rFonts w:cs="Times New Roman"/>
                <w:spacing w:val="-6"/>
                <w:sz w:val="20"/>
                <w:szCs w:val="20"/>
              </w:rPr>
              <w:t xml:space="preserve"> </w:t>
            </w:r>
            <w:r w:rsidRPr="00513BF0">
              <w:rPr>
                <w:rFonts w:cs="Times New Roman"/>
                <w:sz w:val="20"/>
                <w:szCs w:val="20"/>
              </w:rPr>
              <w:t>by</w:t>
            </w:r>
            <w:r w:rsidRPr="00513BF0">
              <w:rPr>
                <w:rFonts w:cs="Times New Roman"/>
                <w:spacing w:val="-6"/>
                <w:sz w:val="20"/>
                <w:szCs w:val="20"/>
              </w:rPr>
              <w:t xml:space="preserve"> </w:t>
            </w:r>
            <w:r w:rsidRPr="00513BF0">
              <w:rPr>
                <w:rFonts w:cs="Times New Roman"/>
                <w:sz w:val="20"/>
                <w:szCs w:val="20"/>
              </w:rPr>
              <w:t>the</w:t>
            </w:r>
            <w:r w:rsidRPr="00513BF0">
              <w:rPr>
                <w:rFonts w:cs="Times New Roman"/>
                <w:spacing w:val="-6"/>
                <w:sz w:val="20"/>
                <w:szCs w:val="20"/>
              </w:rPr>
              <w:t xml:space="preserve"> </w:t>
            </w:r>
            <w:r w:rsidRPr="00513BF0">
              <w:rPr>
                <w:rFonts w:cs="Times New Roman"/>
                <w:sz w:val="20"/>
                <w:szCs w:val="20"/>
              </w:rPr>
              <w:t>economic</w:t>
            </w:r>
            <w:r w:rsidRPr="00513BF0">
              <w:rPr>
                <w:rFonts w:cs="Times New Roman"/>
                <w:spacing w:val="-6"/>
                <w:sz w:val="20"/>
                <w:szCs w:val="20"/>
              </w:rPr>
              <w:t xml:space="preserve"> </w:t>
            </w:r>
            <w:r w:rsidRPr="00513BF0">
              <w:rPr>
                <w:rFonts w:cs="Times New Roman"/>
                <w:sz w:val="20"/>
                <w:szCs w:val="20"/>
              </w:rPr>
              <w:t>and</w:t>
            </w:r>
            <w:r w:rsidRPr="00513BF0">
              <w:rPr>
                <w:rFonts w:cs="Times New Roman"/>
                <w:spacing w:val="-6"/>
                <w:sz w:val="20"/>
                <w:szCs w:val="20"/>
              </w:rPr>
              <w:t xml:space="preserve"> </w:t>
            </w:r>
            <w:r w:rsidRPr="00513BF0">
              <w:rPr>
                <w:rFonts w:cs="Times New Roman"/>
                <w:sz w:val="20"/>
                <w:szCs w:val="20"/>
              </w:rPr>
              <w:t xml:space="preserve">market conditions. Accordingly, </w:t>
            </w:r>
            <w:r w:rsidRPr="00513BF0">
              <w:rPr>
                <w:rFonts w:cs="Times New Roman"/>
                <w:spacing w:val="-3"/>
                <w:sz w:val="20"/>
                <w:szCs w:val="20"/>
              </w:rPr>
              <w:t xml:space="preserve">Telecom </w:t>
            </w:r>
            <w:r w:rsidRPr="00513BF0">
              <w:rPr>
                <w:rFonts w:cs="Times New Roman"/>
                <w:sz w:val="20"/>
                <w:szCs w:val="20"/>
              </w:rPr>
              <w:t>requests the Authority to justify the 18% increment, which we maintain is extreme and unreasonable.</w:t>
            </w:r>
            <w:r w:rsidR="007C17D5" w:rsidRPr="00513BF0">
              <w:rPr>
                <w:rFonts w:cs="Times New Roman"/>
                <w:sz w:val="20"/>
                <w:szCs w:val="20"/>
              </w:rPr>
              <w:t xml:space="preserve"> </w:t>
            </w:r>
          </w:p>
        </w:tc>
        <w:tc>
          <w:tcPr>
            <w:tcW w:w="4536" w:type="dxa"/>
          </w:tcPr>
          <w:p w14:paraId="5C7A255B" w14:textId="7ECBC9C3" w:rsidR="00B81E88"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Administrative fees were initially set in accordance with the CPIs of 2016,</w:t>
            </w:r>
            <w:r w:rsidR="00973A0F">
              <w:rPr>
                <w:rFonts w:cs="Times New Roman"/>
                <w:sz w:val="20"/>
                <w:szCs w:val="20"/>
              </w:rPr>
              <w:t xml:space="preserve"> </w:t>
            </w:r>
            <w:r w:rsidRPr="00513BF0">
              <w:rPr>
                <w:rFonts w:cs="Times New Roman"/>
                <w:sz w:val="20"/>
                <w:szCs w:val="20"/>
              </w:rPr>
              <w:t>2017, 2018 and 2019 as well as the total cost of spectrum management. However, after considering the oral and written submission, the total increase was capped at 12%.</w:t>
            </w:r>
          </w:p>
        </w:tc>
      </w:tr>
      <w:tr w:rsidR="00B81E88" w:rsidRPr="00513BF0" w14:paraId="434B09C7" w14:textId="77777777" w:rsidTr="00B865C8">
        <w:trPr>
          <w:trHeight w:val="1306"/>
        </w:trPr>
        <w:tc>
          <w:tcPr>
            <w:tcW w:w="4111" w:type="dxa"/>
          </w:tcPr>
          <w:p w14:paraId="504D3611" w14:textId="77777777"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Regulation 4, Table 1, Item 7 Satellite Services (Land, Mobile, Maritime) Ad Item 7.2</w:t>
            </w:r>
          </w:p>
          <w:p w14:paraId="0EBE65EC" w14:textId="77777777" w:rsidR="007C17D5" w:rsidRPr="00513BF0" w:rsidRDefault="007C17D5" w:rsidP="007C17D5">
            <w:pPr>
              <w:pStyle w:val="TableParagraph"/>
              <w:spacing w:before="27"/>
              <w:ind w:left="79" w:right="69"/>
              <w:jc w:val="both"/>
              <w:rPr>
                <w:rFonts w:cs="Times New Roman"/>
                <w:sz w:val="20"/>
                <w:szCs w:val="20"/>
              </w:rPr>
            </w:pPr>
          </w:p>
          <w:p w14:paraId="14BF0A0C" w14:textId="7FF1267B"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We highlight that technology has changed to HTS (High Throughput Satellite) and Telecom has upgraded its satellite hub to higher throughput satellite, enabling it to provide faster internet access to end users on a cost effective basis.</w:t>
            </w:r>
            <w:r w:rsidR="007C17D5" w:rsidRPr="00513BF0">
              <w:rPr>
                <w:rFonts w:cs="Times New Roman"/>
                <w:sz w:val="20"/>
                <w:szCs w:val="20"/>
              </w:rPr>
              <w:t xml:space="preserve"> </w:t>
            </w:r>
          </w:p>
          <w:p w14:paraId="58519C0F" w14:textId="01DCF566" w:rsidR="00B81E88" w:rsidRPr="00513BF0" w:rsidRDefault="00B81E88" w:rsidP="0071745C">
            <w:pPr>
              <w:pStyle w:val="TableParagraph"/>
              <w:ind w:left="80"/>
              <w:rPr>
                <w:rFonts w:cs="Times New Roman"/>
                <w:sz w:val="20"/>
                <w:szCs w:val="20"/>
              </w:rPr>
            </w:pPr>
          </w:p>
          <w:p w14:paraId="1997B7BE" w14:textId="6C70BE33"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What is proposed by the Regulator will no longer allow these services to be cost effective, if a satellite digital uplink is offered at 128 kbits/s at the cost of N$ 3,959.00. Essentially to offer a customer the speed of 1 meg, we will have to pay the proposed payment (x) 8 to achieve the speed and service offered to customers as per our approved fee structure. The charges proposed are more than what we are currently charging our customers. We are assuming that the pricing and proposal was made in error without consideration of the actual current fees and consequences to end users, should this however not be the case then we note the not only creates major concerns, but also major challenges. Telecom cannot double the speed, the service or better the experience for customers without financially prejudicing customers if the proposal as it is stands is upheld.</w:t>
            </w:r>
            <w:r w:rsidR="007C17D5" w:rsidRPr="00513BF0">
              <w:rPr>
                <w:rFonts w:cs="Times New Roman"/>
                <w:sz w:val="20"/>
                <w:szCs w:val="20"/>
              </w:rPr>
              <w:t xml:space="preserve"> </w:t>
            </w:r>
          </w:p>
          <w:p w14:paraId="2CBF9492" w14:textId="2D1BABBA" w:rsidR="00B81E88" w:rsidRPr="00513BF0" w:rsidRDefault="00B81E88" w:rsidP="0071745C">
            <w:pPr>
              <w:pStyle w:val="TableParagraph"/>
              <w:ind w:left="80"/>
              <w:rPr>
                <w:rFonts w:cs="Times New Roman"/>
                <w:sz w:val="20"/>
                <w:szCs w:val="20"/>
              </w:rPr>
            </w:pPr>
          </w:p>
          <w:p w14:paraId="3497EC99" w14:textId="435C822F"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The formula considered is normally the following:</w:t>
            </w:r>
            <w:r w:rsidR="007C17D5" w:rsidRPr="00513BF0">
              <w:rPr>
                <w:rFonts w:cs="Times New Roman"/>
                <w:sz w:val="20"/>
                <w:szCs w:val="20"/>
              </w:rPr>
              <w:t xml:space="preserve"> </w:t>
            </w:r>
          </w:p>
          <w:p w14:paraId="18DE800A" w14:textId="02CE04B9" w:rsidR="00B81E88" w:rsidRPr="00513BF0" w:rsidRDefault="00B81E88" w:rsidP="0071745C">
            <w:pPr>
              <w:pStyle w:val="TableParagraph"/>
              <w:ind w:left="80"/>
              <w:rPr>
                <w:rFonts w:cs="Times New Roman"/>
                <w:sz w:val="20"/>
                <w:szCs w:val="20"/>
              </w:rPr>
            </w:pPr>
          </w:p>
          <w:p w14:paraId="3045159D" w14:textId="655AF549"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 xml:space="preserve">Price = costs </w:t>
            </w:r>
            <w:r w:rsidRPr="00513BF0">
              <w:rPr>
                <w:rFonts w:cs="Times New Roman"/>
                <w:i/>
                <w:sz w:val="20"/>
                <w:szCs w:val="20"/>
              </w:rPr>
              <w:t>(which include the cost of the regulator which is now higher than the price to the customer</w:t>
            </w:r>
            <w:r w:rsidRPr="00513BF0">
              <w:rPr>
                <w:rFonts w:cs="Times New Roman"/>
                <w:sz w:val="20"/>
                <w:szCs w:val="20"/>
              </w:rPr>
              <w:t>)</w:t>
            </w:r>
            <w:r w:rsidR="007C17D5" w:rsidRPr="00513BF0">
              <w:rPr>
                <w:rFonts w:cs="Times New Roman"/>
                <w:sz w:val="20"/>
                <w:szCs w:val="20"/>
              </w:rPr>
              <w:t xml:space="preserve"> </w:t>
            </w:r>
          </w:p>
          <w:p w14:paraId="6EE2A258" w14:textId="077B0408"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 xml:space="preserve">+Profit </w:t>
            </w:r>
            <w:r w:rsidRPr="00513BF0">
              <w:rPr>
                <w:rFonts w:cs="Times New Roman"/>
                <w:i/>
                <w:sz w:val="20"/>
                <w:szCs w:val="20"/>
              </w:rPr>
              <w:t>(which is no longer viable if the pricing proposed is intended to be passed on to operators</w:t>
            </w:r>
            <w:r w:rsidRPr="00513BF0">
              <w:rPr>
                <w:rFonts w:cs="Times New Roman"/>
                <w:sz w:val="20"/>
                <w:szCs w:val="20"/>
              </w:rPr>
              <w:t>).</w:t>
            </w:r>
            <w:r w:rsidR="007C17D5" w:rsidRPr="00513BF0">
              <w:rPr>
                <w:rFonts w:cs="Times New Roman"/>
                <w:sz w:val="20"/>
                <w:szCs w:val="20"/>
              </w:rPr>
              <w:t xml:space="preserve"> </w:t>
            </w:r>
          </w:p>
          <w:p w14:paraId="1F4F18A6" w14:textId="5F5F879E" w:rsidR="00B81E88" w:rsidRPr="00513BF0" w:rsidRDefault="00B81E88" w:rsidP="0071745C">
            <w:pPr>
              <w:pStyle w:val="TableParagraph"/>
              <w:ind w:left="80"/>
              <w:rPr>
                <w:rFonts w:cs="Times New Roman"/>
                <w:sz w:val="20"/>
                <w:szCs w:val="20"/>
              </w:rPr>
            </w:pPr>
          </w:p>
          <w:p w14:paraId="3871627C" w14:textId="2C90114A" w:rsidR="00B81E88"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We therefore request that this option be reconsidered in its entirety and we remain available for further inputs and/or queries.</w:t>
            </w:r>
            <w:r w:rsidR="007C17D5" w:rsidRPr="00513BF0">
              <w:rPr>
                <w:rFonts w:cs="Times New Roman"/>
                <w:sz w:val="20"/>
                <w:szCs w:val="20"/>
              </w:rPr>
              <w:t xml:space="preserve"> </w:t>
            </w:r>
          </w:p>
        </w:tc>
        <w:tc>
          <w:tcPr>
            <w:tcW w:w="4536" w:type="dxa"/>
          </w:tcPr>
          <w:p w14:paraId="70DC0224" w14:textId="751695AA" w:rsidR="00B81E88" w:rsidRPr="00513BF0" w:rsidRDefault="00B81E88" w:rsidP="00973A0F">
            <w:pPr>
              <w:pStyle w:val="TableParagraph"/>
              <w:spacing w:before="27"/>
              <w:ind w:left="79" w:right="69"/>
              <w:jc w:val="both"/>
              <w:rPr>
                <w:rFonts w:cs="Times New Roman"/>
                <w:sz w:val="20"/>
                <w:szCs w:val="20"/>
              </w:rPr>
            </w:pPr>
            <w:r w:rsidRPr="00513BF0">
              <w:rPr>
                <w:rFonts w:cs="Times New Roman"/>
                <w:sz w:val="20"/>
                <w:szCs w:val="20"/>
              </w:rPr>
              <w:t>The Authority has taken note of Telecom’s comment and accordingly reconsidered the proposed pricing of Item 7.2.</w:t>
            </w:r>
            <w:r w:rsidR="00973A0F" w:rsidRPr="00513BF0">
              <w:rPr>
                <w:rFonts w:cs="Times New Roman"/>
                <w:sz w:val="20"/>
                <w:szCs w:val="20"/>
              </w:rPr>
              <w:t xml:space="preserve"> </w:t>
            </w:r>
          </w:p>
        </w:tc>
      </w:tr>
      <w:tr w:rsidR="00B81E88" w:rsidRPr="00513BF0" w14:paraId="1B538590" w14:textId="77777777" w:rsidTr="00B865C8">
        <w:trPr>
          <w:trHeight w:val="1306"/>
        </w:trPr>
        <w:tc>
          <w:tcPr>
            <w:tcW w:w="4111" w:type="dxa"/>
          </w:tcPr>
          <w:p w14:paraId="3CAD714F" w14:textId="1C3BCFA9" w:rsidR="007C17D5" w:rsidRPr="00513BF0" w:rsidRDefault="00B81E88" w:rsidP="007C17D5">
            <w:pPr>
              <w:pStyle w:val="TableParagraph"/>
              <w:spacing w:before="27"/>
              <w:ind w:left="79" w:right="69"/>
              <w:jc w:val="both"/>
              <w:rPr>
                <w:rFonts w:cs="Times New Roman"/>
                <w:sz w:val="20"/>
                <w:szCs w:val="20"/>
              </w:rPr>
            </w:pPr>
            <w:r w:rsidRPr="00513BF0">
              <w:rPr>
                <w:rFonts w:cs="Times New Roman"/>
                <w:b/>
                <w:sz w:val="20"/>
                <w:szCs w:val="20"/>
              </w:rPr>
              <w:t>Regulation 5(a)</w:t>
            </w:r>
            <w:r w:rsidR="007C17D5" w:rsidRPr="00513BF0">
              <w:rPr>
                <w:rFonts w:cs="Times New Roman"/>
                <w:sz w:val="20"/>
                <w:szCs w:val="20"/>
              </w:rPr>
              <w:t xml:space="preserve"> </w:t>
            </w:r>
          </w:p>
          <w:p w14:paraId="2347A04D" w14:textId="0DDD7E58" w:rsidR="007C17D5" w:rsidRPr="00513BF0" w:rsidRDefault="00B81E88" w:rsidP="007C17D5">
            <w:pPr>
              <w:pStyle w:val="TableParagraph"/>
              <w:spacing w:before="27"/>
              <w:ind w:left="79" w:right="69"/>
              <w:jc w:val="both"/>
              <w:rPr>
                <w:rFonts w:cs="Times New Roman"/>
                <w:sz w:val="20"/>
                <w:szCs w:val="20"/>
              </w:rPr>
            </w:pPr>
            <w:r w:rsidRPr="00513BF0">
              <w:rPr>
                <w:rFonts w:cs="Times New Roman"/>
                <w:i/>
                <w:sz w:val="20"/>
                <w:szCs w:val="20"/>
              </w:rPr>
              <w:t>“BV” is an acronym for base value measured in Namibian Dollars per MHz and is currently set at N$ 1,686.00 for mobile services and N$118.00 for fixed services:”</w:t>
            </w:r>
            <w:r w:rsidR="007C17D5" w:rsidRPr="00513BF0">
              <w:rPr>
                <w:rFonts w:cs="Times New Roman"/>
                <w:sz w:val="20"/>
                <w:szCs w:val="20"/>
              </w:rPr>
              <w:t xml:space="preserve"> </w:t>
            </w:r>
          </w:p>
          <w:p w14:paraId="4CDF2DD0" w14:textId="3F2FAE89" w:rsidR="00B81E88" w:rsidRPr="00513BF0" w:rsidRDefault="00B81E88" w:rsidP="0071745C">
            <w:pPr>
              <w:pStyle w:val="TableParagraph"/>
              <w:ind w:left="80"/>
              <w:rPr>
                <w:rFonts w:cs="Times New Roman"/>
                <w:sz w:val="20"/>
                <w:szCs w:val="20"/>
              </w:rPr>
            </w:pPr>
          </w:p>
          <w:p w14:paraId="3C675F90" w14:textId="64C9F5DF"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Telecom appreciates the intentions of the Authority to ensure transparency within the sector as regards to the proposed regulations, however regulation 5(a) does not disclose how the base value which is set as N$1686.00 was arrived at. Although the proposed regulations indicate the formula for BV as;</w:t>
            </w:r>
            <w:r w:rsidR="007C17D5" w:rsidRPr="00513BF0">
              <w:rPr>
                <w:rFonts w:cs="Times New Roman"/>
                <w:sz w:val="20"/>
                <w:szCs w:val="20"/>
              </w:rPr>
              <w:t xml:space="preserve"> </w:t>
            </w:r>
          </w:p>
          <w:p w14:paraId="352BC883" w14:textId="33D98F9E" w:rsidR="00B81E88" w:rsidRPr="00513BF0" w:rsidRDefault="00B81E88" w:rsidP="0071745C">
            <w:pPr>
              <w:pStyle w:val="TableParagraph"/>
              <w:ind w:left="80"/>
              <w:rPr>
                <w:rFonts w:cs="Times New Roman"/>
                <w:sz w:val="20"/>
                <w:szCs w:val="20"/>
              </w:rPr>
            </w:pPr>
          </w:p>
          <w:p w14:paraId="5349AE7F" w14:textId="29843D77" w:rsidR="007C17D5" w:rsidRPr="00513BF0" w:rsidRDefault="00B81E88" w:rsidP="00C27888">
            <w:pPr>
              <w:pStyle w:val="TableParagraph"/>
              <w:spacing w:before="27"/>
              <w:ind w:left="567" w:right="69"/>
              <w:jc w:val="both"/>
              <w:rPr>
                <w:rFonts w:cs="Times New Roman"/>
                <w:sz w:val="20"/>
                <w:szCs w:val="20"/>
              </w:rPr>
            </w:pPr>
            <w:r w:rsidRPr="00513BF0">
              <w:rPr>
                <w:rFonts w:cs="Times New Roman"/>
                <w:i/>
                <w:sz w:val="20"/>
                <w:szCs w:val="20"/>
              </w:rPr>
              <w:t>total expected spectrum management costs – expected revenue raised from flat spectrum fees</w:t>
            </w:r>
          </w:p>
          <w:p w14:paraId="18E86100" w14:textId="3D7432A3" w:rsidR="007C17D5" w:rsidRPr="00513BF0" w:rsidRDefault="00C27888" w:rsidP="0052176D">
            <w:pPr>
              <w:pStyle w:val="TableParagraph"/>
              <w:spacing w:before="27"/>
              <w:ind w:left="79" w:right="69"/>
              <w:jc w:val="both"/>
              <w:rPr>
                <w:rFonts w:cs="Times New Roman"/>
                <w:sz w:val="20"/>
                <w:szCs w:val="20"/>
              </w:rPr>
            </w:pPr>
            <w:r w:rsidRPr="00513BF0">
              <w:rPr>
                <w:rFonts w:cs="Times New Roman"/>
                <w:i/>
                <w:sz w:val="20"/>
                <w:szCs w:val="20"/>
              </w:rPr>
              <w:t>BV =</w:t>
            </w:r>
            <w:r w:rsidR="00373261">
              <w:tab/>
            </w:r>
            <w:r w:rsidR="00B81E88" w:rsidRPr="00513BF0">
              <w:rPr>
                <w:rFonts w:cs="Times New Roman"/>
                <w:i/>
                <w:sz w:val="20"/>
                <w:szCs w:val="20"/>
              </w:rPr>
              <w:t>__________________________</w:t>
            </w:r>
            <w:r w:rsidR="00373261">
              <w:rPr>
                <w:rFonts w:cs="Times New Roman"/>
                <w:i/>
                <w:sz w:val="20"/>
                <w:szCs w:val="20"/>
              </w:rPr>
              <w:t>__________</w:t>
            </w:r>
            <w:r w:rsidR="0052176D">
              <w:rPr>
                <w:rFonts w:cs="Times New Roman"/>
                <w:i/>
                <w:sz w:val="20"/>
                <w:szCs w:val="20"/>
              </w:rPr>
              <w:t xml:space="preserve">     </w:t>
            </w:r>
            <w:r w:rsidR="00B81E88" w:rsidRPr="00513BF0">
              <w:rPr>
                <w:rFonts w:cs="Times New Roman"/>
                <w:i/>
                <w:sz w:val="20"/>
                <w:szCs w:val="20"/>
              </w:rPr>
              <w:t>(BWFxFBFxCFxSHRFxGEOFxTF</w:t>
            </w:r>
          </w:p>
          <w:p w14:paraId="4B9A187F" w14:textId="030CB0D4" w:rsidR="00B81E88" w:rsidRPr="00513BF0" w:rsidRDefault="00B81E88" w:rsidP="0071745C">
            <w:pPr>
              <w:pStyle w:val="TableParagraph"/>
              <w:ind w:left="80"/>
              <w:rPr>
                <w:rFonts w:cs="Times New Roman"/>
                <w:sz w:val="20"/>
                <w:szCs w:val="20"/>
              </w:rPr>
            </w:pPr>
          </w:p>
          <w:p w14:paraId="14BA7306" w14:textId="4FDB71F7"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Kindly explain and/or justify to ensure complete transpare</w:t>
            </w:r>
            <w:r>
              <w:rPr>
                <w:sz w:val="20"/>
                <w:szCs w:val="20"/>
              </w:rPr>
              <w:t xml:space="preserve">ncy. Telecom submits that the </w:t>
            </w:r>
            <w:r w:rsidRPr="00513BF0">
              <w:rPr>
                <w:rFonts w:cs="Times New Roman"/>
                <w:sz w:val="20"/>
                <w:szCs w:val="20"/>
              </w:rPr>
              <w:t>Authority is in a position to indicate at the very least the total expected spectrum management costs as well as expected revenue raised from the flat spectrum fees as this has been one of the core functions of the Authority over the years (i.e to manage spectrum costs and raise revenue from the spectrum fees).</w:t>
            </w:r>
            <w:r w:rsidR="007C17D5" w:rsidRPr="00513BF0">
              <w:rPr>
                <w:rFonts w:cs="Times New Roman"/>
                <w:sz w:val="20"/>
                <w:szCs w:val="20"/>
              </w:rPr>
              <w:t xml:space="preserve"> </w:t>
            </w:r>
          </w:p>
          <w:p w14:paraId="386C02CC" w14:textId="0F824C6C" w:rsidR="00B81E88" w:rsidRPr="00513BF0" w:rsidRDefault="00B81E88" w:rsidP="0071745C">
            <w:pPr>
              <w:pStyle w:val="TableParagraph"/>
              <w:ind w:left="80"/>
              <w:rPr>
                <w:rFonts w:cs="Times New Roman"/>
                <w:sz w:val="20"/>
                <w:szCs w:val="20"/>
              </w:rPr>
            </w:pPr>
          </w:p>
          <w:p w14:paraId="22B40EB9" w14:textId="317586B1" w:rsidR="00B81E88"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Accordingly, for the sake of transparency, we insist that the formulae as contained in the proposed regulations contain actual values.</w:t>
            </w:r>
            <w:r w:rsidR="007C17D5" w:rsidRPr="00513BF0">
              <w:rPr>
                <w:rFonts w:cs="Times New Roman"/>
                <w:sz w:val="20"/>
                <w:szCs w:val="20"/>
              </w:rPr>
              <w:t xml:space="preserve"> </w:t>
            </w:r>
          </w:p>
        </w:tc>
        <w:tc>
          <w:tcPr>
            <w:tcW w:w="4536" w:type="dxa"/>
          </w:tcPr>
          <w:p w14:paraId="70A5950A" w14:textId="31E9BE0E" w:rsidR="00B81E88" w:rsidRPr="00513BF0" w:rsidRDefault="00B81E88" w:rsidP="00054F3A">
            <w:pPr>
              <w:pStyle w:val="TableParagraph"/>
              <w:spacing w:before="27"/>
              <w:ind w:left="79" w:right="69"/>
              <w:jc w:val="both"/>
              <w:rPr>
                <w:rFonts w:cs="Times New Roman"/>
                <w:sz w:val="20"/>
                <w:szCs w:val="20"/>
              </w:rPr>
            </w:pPr>
            <w:r w:rsidRPr="00513BF0">
              <w:rPr>
                <w:rFonts w:cs="Times New Roman"/>
                <w:sz w:val="20"/>
                <w:szCs w:val="20"/>
              </w:rPr>
              <w:t>The base value was calculated taking into consideration that the total cost of managing spectrum over the next three years would be N$</w:t>
            </w:r>
            <w:r w:rsidR="00054F3A">
              <w:rPr>
                <w:rFonts w:cs="Times New Roman"/>
                <w:sz w:val="20"/>
                <w:szCs w:val="20"/>
              </w:rPr>
              <w:t> </w:t>
            </w:r>
            <w:r w:rsidRPr="00513BF0">
              <w:rPr>
                <w:rFonts w:cs="Times New Roman"/>
                <w:sz w:val="20"/>
                <w:szCs w:val="20"/>
              </w:rPr>
              <w:t>92,397,268. The expected revenue from flat fees would be N$</w:t>
            </w:r>
            <w:r w:rsidR="00054F3A">
              <w:rPr>
                <w:rFonts w:cs="Times New Roman"/>
                <w:sz w:val="20"/>
                <w:szCs w:val="20"/>
              </w:rPr>
              <w:t> </w:t>
            </w:r>
            <w:r w:rsidRPr="00513BF0">
              <w:rPr>
                <w:rFonts w:cs="Times New Roman"/>
                <w:sz w:val="20"/>
                <w:szCs w:val="20"/>
              </w:rPr>
              <w:t>47,264,881 resulting in N$</w:t>
            </w:r>
            <w:r w:rsidR="00054F3A">
              <w:rPr>
                <w:rFonts w:cs="Times New Roman"/>
                <w:sz w:val="20"/>
                <w:szCs w:val="20"/>
              </w:rPr>
              <w:t> </w:t>
            </w:r>
            <w:r w:rsidRPr="00513BF0">
              <w:rPr>
                <w:rFonts w:cs="Times New Roman"/>
                <w:sz w:val="20"/>
                <w:szCs w:val="20"/>
              </w:rPr>
              <w:t>45,132,387 from which the base value was calculated.</w:t>
            </w:r>
            <w:r w:rsidR="007C17D5" w:rsidRPr="00513BF0">
              <w:rPr>
                <w:rFonts w:cs="Times New Roman"/>
                <w:sz w:val="20"/>
                <w:szCs w:val="20"/>
              </w:rPr>
              <w:t xml:space="preserve"> </w:t>
            </w:r>
          </w:p>
        </w:tc>
      </w:tr>
      <w:tr w:rsidR="00B81E88" w:rsidRPr="00513BF0" w14:paraId="168D4FB2" w14:textId="77777777" w:rsidTr="00B865C8">
        <w:trPr>
          <w:trHeight w:val="1306"/>
        </w:trPr>
        <w:tc>
          <w:tcPr>
            <w:tcW w:w="4111" w:type="dxa"/>
          </w:tcPr>
          <w:p w14:paraId="418FA832" w14:textId="3F345EE1" w:rsidR="007C17D5" w:rsidRPr="00513BF0" w:rsidRDefault="00B81E88" w:rsidP="007C17D5">
            <w:pPr>
              <w:pStyle w:val="TableParagraph"/>
              <w:spacing w:before="27"/>
              <w:ind w:left="79" w:right="69"/>
              <w:jc w:val="both"/>
              <w:rPr>
                <w:rFonts w:cs="Times New Roman"/>
                <w:sz w:val="20"/>
                <w:szCs w:val="20"/>
              </w:rPr>
            </w:pPr>
            <w:r w:rsidRPr="00513BF0">
              <w:rPr>
                <w:rFonts w:cs="Times New Roman"/>
                <w:b/>
                <w:sz w:val="20"/>
                <w:szCs w:val="20"/>
                <w:u w:val="single"/>
              </w:rPr>
              <w:t>Regulation 5: Formula based fees:</w:t>
            </w:r>
            <w:r w:rsidR="007C17D5" w:rsidRPr="00513BF0">
              <w:rPr>
                <w:rFonts w:cs="Times New Roman"/>
                <w:sz w:val="20"/>
                <w:szCs w:val="20"/>
              </w:rPr>
              <w:t xml:space="preserve"> </w:t>
            </w:r>
          </w:p>
          <w:p w14:paraId="5D4F6CE5" w14:textId="4F14ABF8"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In the 900 MHz band, Telecom has 10 MHz paired (905-915/950-960 MHz) for which Telecom currently pays N$ 690 000.00 per annum. With the new envisage fees as per the formula contained in the proposed regulations, it is not clear whether this still refers to the paired bands. If the spectrum will not be paired as it is now, the charge will double to N$</w:t>
            </w:r>
            <w:r w:rsidR="001F784B">
              <w:rPr>
                <w:rFonts w:cs="Times New Roman"/>
                <w:sz w:val="20"/>
                <w:szCs w:val="20"/>
              </w:rPr>
              <w:t> </w:t>
            </w:r>
            <w:r w:rsidRPr="00513BF0">
              <w:rPr>
                <w:rFonts w:cs="Times New Roman"/>
                <w:sz w:val="20"/>
                <w:szCs w:val="20"/>
              </w:rPr>
              <w:t>758</w:t>
            </w:r>
            <w:r w:rsidR="001F784B">
              <w:rPr>
                <w:rFonts w:cs="Times New Roman"/>
                <w:sz w:val="20"/>
                <w:szCs w:val="20"/>
              </w:rPr>
              <w:t> </w:t>
            </w:r>
            <w:r w:rsidRPr="00513BF0">
              <w:rPr>
                <w:rFonts w:cs="Times New Roman"/>
                <w:sz w:val="20"/>
                <w:szCs w:val="20"/>
              </w:rPr>
              <w:t>700.00, which then results in an increment of 9%, which seems unreasonable considering that the spectrum charge currently is already high.</w:t>
            </w:r>
            <w:r w:rsidR="007C17D5" w:rsidRPr="00513BF0">
              <w:rPr>
                <w:rFonts w:cs="Times New Roman"/>
                <w:sz w:val="20"/>
                <w:szCs w:val="20"/>
              </w:rPr>
              <w:t xml:space="preserve"> </w:t>
            </w:r>
          </w:p>
          <w:p w14:paraId="0A9CEFDE" w14:textId="1D68ECC1" w:rsidR="00B81E88" w:rsidRPr="00513BF0" w:rsidRDefault="00B81E88" w:rsidP="0071745C">
            <w:pPr>
              <w:pStyle w:val="TableParagraph"/>
              <w:ind w:left="80"/>
              <w:rPr>
                <w:rFonts w:cs="Times New Roman"/>
                <w:sz w:val="20"/>
                <w:szCs w:val="20"/>
              </w:rPr>
            </w:pPr>
          </w:p>
          <w:p w14:paraId="214933BF" w14:textId="5B20EE85"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In addition, we also note that in the 1800 MHz band, Telecom has 20 MHz paired (1775-1795/1870-1880 and 1765-1775/1860-1870 MHz) for which Telecom currently pays N$1</w:t>
            </w:r>
            <w:r w:rsidR="001F784B">
              <w:rPr>
                <w:rFonts w:cs="Times New Roman"/>
                <w:sz w:val="20"/>
                <w:szCs w:val="20"/>
              </w:rPr>
              <w:t> </w:t>
            </w:r>
            <w:r w:rsidRPr="00513BF0">
              <w:rPr>
                <w:rFonts w:cs="Times New Roman"/>
                <w:sz w:val="20"/>
                <w:szCs w:val="20"/>
              </w:rPr>
              <w:t>104</w:t>
            </w:r>
            <w:r w:rsidR="001F784B">
              <w:rPr>
                <w:rFonts w:cs="Times New Roman"/>
                <w:sz w:val="20"/>
                <w:szCs w:val="20"/>
              </w:rPr>
              <w:t> </w:t>
            </w:r>
            <w:r w:rsidRPr="00513BF0">
              <w:rPr>
                <w:rFonts w:cs="Times New Roman"/>
                <w:sz w:val="20"/>
                <w:szCs w:val="20"/>
              </w:rPr>
              <w:t>000.00 per annum. With the new envisaged fees and as per the new formula (BWF x FBF x CF x SHRF x GEO x BV), it is not clear whether the spectrum remains paired, although the Regulations also do not suggest otherwise, as this would be unfair in our view. However, if the spectrum will not be paired as it currently is, the charge will double to N$</w:t>
            </w:r>
            <w:r w:rsidR="001F784B">
              <w:rPr>
                <w:rFonts w:cs="Times New Roman"/>
                <w:sz w:val="20"/>
                <w:szCs w:val="20"/>
              </w:rPr>
              <w:t> </w:t>
            </w:r>
            <w:r w:rsidRPr="00513BF0">
              <w:rPr>
                <w:rFonts w:cs="Times New Roman"/>
                <w:sz w:val="20"/>
                <w:szCs w:val="20"/>
              </w:rPr>
              <w:t>1</w:t>
            </w:r>
            <w:r w:rsidR="001F784B">
              <w:rPr>
                <w:rFonts w:cs="Times New Roman"/>
                <w:sz w:val="20"/>
                <w:szCs w:val="20"/>
              </w:rPr>
              <w:t> </w:t>
            </w:r>
            <w:r w:rsidRPr="00513BF0">
              <w:rPr>
                <w:rFonts w:cs="Times New Roman"/>
                <w:sz w:val="20"/>
                <w:szCs w:val="20"/>
              </w:rPr>
              <w:t>517 400.00, which results in an increment of 27%. We submit that an increment of 27% is simply unsustainable for any business and accordingly, we beg for reasoning to accommodate these proposed modalities.</w:t>
            </w:r>
            <w:r w:rsidR="007C17D5" w:rsidRPr="00513BF0">
              <w:rPr>
                <w:rFonts w:cs="Times New Roman"/>
                <w:sz w:val="20"/>
                <w:szCs w:val="20"/>
              </w:rPr>
              <w:t xml:space="preserve"> </w:t>
            </w:r>
          </w:p>
          <w:p w14:paraId="5549E3D0" w14:textId="77777777" w:rsidR="007C17D5" w:rsidRPr="00513BF0" w:rsidRDefault="007C17D5" w:rsidP="007C17D5">
            <w:pPr>
              <w:pStyle w:val="TableParagraph"/>
              <w:spacing w:before="27"/>
              <w:ind w:left="79" w:right="69"/>
              <w:jc w:val="both"/>
              <w:rPr>
                <w:rFonts w:cs="Times New Roman"/>
                <w:sz w:val="20"/>
                <w:szCs w:val="20"/>
              </w:rPr>
            </w:pPr>
          </w:p>
          <w:p w14:paraId="0629D5C9" w14:textId="0DFB4004"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We strongly object to the proposed fees and corresponding charges as contained in the proposed regulations, which we regard as extremely high and unreasonable to Operators such as ourselves.  We are of the view that the costs/fees induced by the Authority herein will increase the costs of providing services to the consumers, and as such: especially considering that Operators are already subject to various other annual levies fees; the ripple effect of charges passing on to consumers cannot be evaded.</w:t>
            </w:r>
            <w:r w:rsidR="007C17D5" w:rsidRPr="00513BF0">
              <w:rPr>
                <w:rFonts w:cs="Times New Roman"/>
                <w:sz w:val="20"/>
                <w:szCs w:val="20"/>
              </w:rPr>
              <w:t xml:space="preserve"> </w:t>
            </w:r>
          </w:p>
          <w:p w14:paraId="28E42A7D" w14:textId="77777777" w:rsidR="007C17D5" w:rsidRPr="00513BF0" w:rsidRDefault="007C17D5" w:rsidP="007C17D5">
            <w:pPr>
              <w:pStyle w:val="TableParagraph"/>
              <w:spacing w:before="27"/>
              <w:ind w:left="79" w:right="69"/>
              <w:jc w:val="both"/>
              <w:rPr>
                <w:rFonts w:cs="Times New Roman"/>
                <w:sz w:val="20"/>
                <w:szCs w:val="20"/>
              </w:rPr>
            </w:pPr>
          </w:p>
          <w:p w14:paraId="28B66987" w14:textId="0F1E87F1" w:rsidR="00B81E88"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In conclusion, Telecom appeals to CRAN to keep the current pairing of spectrum when charging spectrum fees and should, consequently, amend section 5(1)(a) to reflect paired or unpaired in order to clarify the charging formula.</w:t>
            </w:r>
            <w:r w:rsidR="007C17D5" w:rsidRPr="00513BF0">
              <w:rPr>
                <w:rFonts w:cs="Times New Roman"/>
                <w:sz w:val="20"/>
                <w:szCs w:val="20"/>
              </w:rPr>
              <w:t xml:space="preserve"> </w:t>
            </w:r>
          </w:p>
        </w:tc>
        <w:tc>
          <w:tcPr>
            <w:tcW w:w="4536" w:type="dxa"/>
          </w:tcPr>
          <w:p w14:paraId="59709995" w14:textId="29385D67"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As per Table 3 contained in regulation</w:t>
            </w:r>
            <w:r w:rsidR="001F784B">
              <w:rPr>
                <w:rFonts w:cs="Times New Roman"/>
                <w:sz w:val="20"/>
                <w:szCs w:val="20"/>
              </w:rPr>
              <w:t xml:space="preserve"> </w:t>
            </w:r>
            <w:r w:rsidRPr="00513BF0">
              <w:rPr>
                <w:rFonts w:cs="Times New Roman"/>
                <w:sz w:val="20"/>
                <w:szCs w:val="20"/>
              </w:rPr>
              <w:t xml:space="preserve">5(5) the spectrum for 900 MHz and 1800 MHz is clearly indicated on different rows in the </w:t>
            </w:r>
            <w:r w:rsidR="00040D1D" w:rsidRPr="00040D1D">
              <w:rPr>
                <w:rFonts w:cs="Times New Roman"/>
                <w:color w:val="00B050"/>
                <w:sz w:val="20"/>
                <w:szCs w:val="20"/>
              </w:rPr>
              <w:t>T</w:t>
            </w:r>
            <w:r w:rsidRPr="00513BF0">
              <w:rPr>
                <w:rFonts w:cs="Times New Roman"/>
                <w:sz w:val="20"/>
                <w:szCs w:val="20"/>
              </w:rPr>
              <w:t>able and is thus not paired.</w:t>
            </w:r>
            <w:r w:rsidR="007C17D5" w:rsidRPr="00513BF0">
              <w:rPr>
                <w:rFonts w:cs="Times New Roman"/>
                <w:sz w:val="20"/>
                <w:szCs w:val="20"/>
              </w:rPr>
              <w:t xml:space="preserve"> </w:t>
            </w:r>
          </w:p>
          <w:p w14:paraId="5BD0E29D" w14:textId="77777777" w:rsidR="007C17D5" w:rsidRPr="00513BF0" w:rsidRDefault="007C17D5" w:rsidP="007C17D5">
            <w:pPr>
              <w:pStyle w:val="TableParagraph"/>
              <w:spacing w:before="27"/>
              <w:ind w:left="79" w:right="69"/>
              <w:jc w:val="both"/>
              <w:rPr>
                <w:rFonts w:cs="Times New Roman"/>
                <w:sz w:val="20"/>
                <w:szCs w:val="20"/>
              </w:rPr>
            </w:pPr>
          </w:p>
          <w:p w14:paraId="5C9095A3" w14:textId="77777777"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W</w:t>
            </w:r>
            <w:r>
              <w:rPr>
                <w:sz w:val="20"/>
                <w:szCs w:val="20"/>
              </w:rPr>
              <w:t xml:space="preserve">hen assessing the impact of spectrum fees, it </w:t>
            </w:r>
            <w:r w:rsidRPr="00513BF0">
              <w:rPr>
                <w:rFonts w:cs="Times New Roman"/>
                <w:sz w:val="20"/>
                <w:szCs w:val="20"/>
              </w:rPr>
              <w:t>is not necessary to evaluate each spectrum band individually, but assess spectrum holdings (fixed and mobile services) in totality. The Authority has created a balance between spectrum fees to be paid for mobile and fixed services by setting separate base values. By doing, so the Authority was able to reduce spectrum fees for spectrum utilized for transmission/ backhauling which has a positive effect on the overall cost of spectrum</w:t>
            </w:r>
          </w:p>
          <w:p w14:paraId="7F0D0AD5" w14:textId="77777777" w:rsidR="007C17D5" w:rsidRPr="00513BF0" w:rsidRDefault="007C17D5" w:rsidP="007C17D5">
            <w:pPr>
              <w:pStyle w:val="TableParagraph"/>
              <w:spacing w:before="27"/>
              <w:ind w:left="79" w:right="69"/>
              <w:jc w:val="both"/>
              <w:rPr>
                <w:rFonts w:cs="Times New Roman"/>
                <w:sz w:val="20"/>
                <w:szCs w:val="20"/>
              </w:rPr>
            </w:pPr>
          </w:p>
          <w:p w14:paraId="5832D76C" w14:textId="77777777" w:rsidR="007C17D5" w:rsidRPr="00513BF0" w:rsidRDefault="00B81E88" w:rsidP="007C17D5">
            <w:pPr>
              <w:pStyle w:val="TableParagraph"/>
              <w:spacing w:before="27"/>
              <w:ind w:left="79" w:right="69"/>
              <w:jc w:val="both"/>
              <w:rPr>
                <w:rFonts w:cs="Times New Roman"/>
                <w:sz w:val="20"/>
                <w:szCs w:val="20"/>
              </w:rPr>
            </w:pPr>
            <w:r w:rsidRPr="00513BF0">
              <w:rPr>
                <w:rFonts w:cs="Times New Roman"/>
                <w:sz w:val="20"/>
                <w:szCs w:val="20"/>
              </w:rPr>
              <w:t>The Authority has also formulated the pricing, in line with the following objects: -</w:t>
            </w:r>
          </w:p>
          <w:p w14:paraId="6C4D06E3" w14:textId="77777777" w:rsidR="007C17D5" w:rsidRPr="00513BF0" w:rsidRDefault="007C17D5" w:rsidP="007C17D5">
            <w:pPr>
              <w:pStyle w:val="TableParagraph"/>
              <w:spacing w:before="27"/>
              <w:ind w:left="79" w:right="69"/>
              <w:jc w:val="both"/>
              <w:rPr>
                <w:rFonts w:cs="Times New Roman"/>
                <w:sz w:val="20"/>
                <w:szCs w:val="20"/>
              </w:rPr>
            </w:pPr>
          </w:p>
          <w:p w14:paraId="7EE5052C" w14:textId="77777777" w:rsidR="00B81E88" w:rsidRPr="00513BF0" w:rsidRDefault="00B81E88" w:rsidP="00B81E88">
            <w:pPr>
              <w:pStyle w:val="TableParagraph"/>
              <w:widowControl w:val="0"/>
              <w:numPr>
                <w:ilvl w:val="0"/>
                <w:numId w:val="11"/>
              </w:numPr>
              <w:autoSpaceDE w:val="0"/>
              <w:autoSpaceDN w:val="0"/>
              <w:spacing w:before="27"/>
              <w:ind w:right="69"/>
              <w:jc w:val="both"/>
              <w:rPr>
                <w:rFonts w:cs="Times New Roman"/>
                <w:sz w:val="20"/>
                <w:szCs w:val="20"/>
              </w:rPr>
            </w:pPr>
            <w:r w:rsidRPr="00513BF0">
              <w:rPr>
                <w:rFonts w:cs="Times New Roman"/>
                <w:sz w:val="20"/>
                <w:szCs w:val="20"/>
              </w:rPr>
              <w:t>The change in utilization of spectrum previously used for fixed services to IMT services (FDD and TDD) e.g. 2300 MHz, 2600 MHz and 3500 MHz;</w:t>
            </w:r>
          </w:p>
          <w:p w14:paraId="33046FDB" w14:textId="77777777" w:rsidR="00B81E88" w:rsidRPr="00513BF0" w:rsidRDefault="00B81E88" w:rsidP="0071745C">
            <w:pPr>
              <w:pStyle w:val="TableParagraph"/>
              <w:spacing w:before="27"/>
              <w:ind w:right="69"/>
              <w:jc w:val="both"/>
              <w:rPr>
                <w:rFonts w:cs="Times New Roman"/>
                <w:sz w:val="20"/>
                <w:szCs w:val="20"/>
              </w:rPr>
            </w:pPr>
          </w:p>
          <w:p w14:paraId="4C43FC99" w14:textId="77777777" w:rsidR="00B81E88" w:rsidRPr="00513BF0" w:rsidRDefault="00B81E88" w:rsidP="00B81E88">
            <w:pPr>
              <w:pStyle w:val="TableParagraph"/>
              <w:widowControl w:val="0"/>
              <w:numPr>
                <w:ilvl w:val="0"/>
                <w:numId w:val="11"/>
              </w:numPr>
              <w:autoSpaceDE w:val="0"/>
              <w:autoSpaceDN w:val="0"/>
              <w:spacing w:before="27"/>
              <w:ind w:right="69"/>
              <w:jc w:val="both"/>
              <w:rPr>
                <w:rFonts w:cs="Times New Roman"/>
                <w:sz w:val="20"/>
                <w:szCs w:val="20"/>
              </w:rPr>
            </w:pPr>
            <w:r w:rsidRPr="00513BF0">
              <w:rPr>
                <w:rFonts w:cs="Times New Roman"/>
                <w:sz w:val="20"/>
                <w:szCs w:val="20"/>
              </w:rPr>
              <w:t>To curb the tendency of licensees to hoard spectrum;</w:t>
            </w:r>
          </w:p>
          <w:p w14:paraId="673E63D4" w14:textId="77777777" w:rsidR="00B81E88" w:rsidRPr="00513BF0" w:rsidRDefault="00B81E88" w:rsidP="0071745C">
            <w:pPr>
              <w:pStyle w:val="TableParagraph"/>
              <w:spacing w:before="27"/>
              <w:ind w:right="69"/>
              <w:jc w:val="both"/>
              <w:rPr>
                <w:rFonts w:cs="Times New Roman"/>
                <w:sz w:val="20"/>
                <w:szCs w:val="20"/>
              </w:rPr>
            </w:pPr>
          </w:p>
          <w:p w14:paraId="5F88AB95" w14:textId="77777777" w:rsidR="00B81E88" w:rsidRPr="00513BF0" w:rsidRDefault="00B81E88" w:rsidP="00B81E88">
            <w:pPr>
              <w:pStyle w:val="TableParagraph"/>
              <w:widowControl w:val="0"/>
              <w:numPr>
                <w:ilvl w:val="0"/>
                <w:numId w:val="11"/>
              </w:numPr>
              <w:autoSpaceDE w:val="0"/>
              <w:autoSpaceDN w:val="0"/>
              <w:spacing w:before="27"/>
              <w:ind w:right="69"/>
              <w:jc w:val="both"/>
              <w:rPr>
                <w:rFonts w:cs="Times New Roman"/>
                <w:sz w:val="20"/>
                <w:szCs w:val="20"/>
              </w:rPr>
            </w:pPr>
            <w:r w:rsidRPr="00513BF0">
              <w:rPr>
                <w:rFonts w:cs="Times New Roman"/>
                <w:sz w:val="20"/>
                <w:szCs w:val="20"/>
              </w:rPr>
              <w:t>To discourage the continued use of old outdated technologies for a period of 5 years and more after the spectrum band has been allocated to a different service in and more spectrally efficient technologies in the Frequency Band Plan of Namibia;</w:t>
            </w:r>
          </w:p>
          <w:p w14:paraId="192B5EBB" w14:textId="77777777" w:rsidR="00B81E88" w:rsidRPr="00513BF0" w:rsidRDefault="00B81E88" w:rsidP="0071745C">
            <w:pPr>
              <w:pStyle w:val="TableParagraph"/>
              <w:spacing w:before="27"/>
              <w:ind w:right="69"/>
              <w:jc w:val="both"/>
              <w:rPr>
                <w:rFonts w:cs="Times New Roman"/>
                <w:sz w:val="20"/>
                <w:szCs w:val="20"/>
              </w:rPr>
            </w:pPr>
          </w:p>
          <w:p w14:paraId="2FDDD91E" w14:textId="77777777" w:rsidR="00B81E88" w:rsidRPr="00513BF0" w:rsidRDefault="00B81E88" w:rsidP="00B81E88">
            <w:pPr>
              <w:pStyle w:val="TableParagraph"/>
              <w:widowControl w:val="0"/>
              <w:numPr>
                <w:ilvl w:val="0"/>
                <w:numId w:val="11"/>
              </w:numPr>
              <w:autoSpaceDE w:val="0"/>
              <w:autoSpaceDN w:val="0"/>
              <w:spacing w:before="27"/>
              <w:ind w:right="69"/>
              <w:jc w:val="both"/>
              <w:rPr>
                <w:rFonts w:cs="Times New Roman"/>
                <w:sz w:val="20"/>
                <w:szCs w:val="20"/>
              </w:rPr>
            </w:pPr>
            <w:r w:rsidRPr="00513BF0">
              <w:rPr>
                <w:rFonts w:cs="Times New Roman"/>
                <w:sz w:val="20"/>
                <w:szCs w:val="20"/>
              </w:rPr>
              <w:t>To ensure that Licensees return spectrum to the Authority when no longer utilized thereby reducing their spectrum fees, which will allow the Authority to consider assignment of this spectrum to other Licensees</w:t>
            </w:r>
          </w:p>
          <w:p w14:paraId="1247AE6B" w14:textId="77777777" w:rsidR="007C17D5" w:rsidRPr="00513BF0" w:rsidRDefault="007C17D5" w:rsidP="007C17D5">
            <w:pPr>
              <w:pStyle w:val="TableParagraph"/>
              <w:spacing w:before="27"/>
              <w:ind w:left="79" w:right="69"/>
              <w:jc w:val="both"/>
              <w:rPr>
                <w:rFonts w:cs="Times New Roman"/>
                <w:sz w:val="20"/>
                <w:szCs w:val="20"/>
              </w:rPr>
            </w:pPr>
          </w:p>
          <w:p w14:paraId="4635BC80" w14:textId="0B458DC3"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The percentages referred to by Telecom Namibia were reduced by 23% after consideration of oral and written comments received from licensees.</w:t>
            </w:r>
          </w:p>
        </w:tc>
      </w:tr>
      <w:tr w:rsidR="00B81E88" w:rsidRPr="00513BF0" w14:paraId="4CEB5AF6" w14:textId="77777777" w:rsidTr="00B865C8">
        <w:trPr>
          <w:trHeight w:val="424"/>
        </w:trPr>
        <w:tc>
          <w:tcPr>
            <w:tcW w:w="8647" w:type="dxa"/>
            <w:gridSpan w:val="2"/>
            <w:shd w:val="clear" w:color="auto" w:fill="BFBFBF" w:themeFill="background1" w:themeFillShade="BF"/>
            <w:vAlign w:val="center"/>
          </w:tcPr>
          <w:p w14:paraId="4637274C" w14:textId="307C0FE3" w:rsidR="00B81E88" w:rsidRPr="00513BF0" w:rsidRDefault="00B81E88" w:rsidP="00D53EEC">
            <w:pPr>
              <w:pStyle w:val="TableParagraph"/>
              <w:spacing w:before="27"/>
              <w:ind w:left="79" w:right="69"/>
              <w:jc w:val="both"/>
              <w:rPr>
                <w:rFonts w:cs="Times New Roman"/>
                <w:sz w:val="20"/>
                <w:szCs w:val="20"/>
              </w:rPr>
            </w:pPr>
            <w:r w:rsidRPr="00513BF0">
              <w:rPr>
                <w:rFonts w:cs="Times New Roman"/>
                <w:b/>
                <w:sz w:val="20"/>
                <w:szCs w:val="20"/>
              </w:rPr>
              <w:t>Multicho</w:t>
            </w:r>
            <w:r w:rsidRPr="00513BF0">
              <w:rPr>
                <w:rFonts w:cs="Times New Roman"/>
                <w:b/>
                <w:sz w:val="20"/>
                <w:szCs w:val="20"/>
                <w:shd w:val="clear" w:color="auto" w:fill="BFBFBF" w:themeFill="background1" w:themeFillShade="BF"/>
              </w:rPr>
              <w:t>ice Namibia</w:t>
            </w:r>
          </w:p>
        </w:tc>
      </w:tr>
      <w:tr w:rsidR="00B81E88" w:rsidRPr="00513BF0" w14:paraId="52482C0C" w14:textId="77777777" w:rsidTr="00B865C8">
        <w:trPr>
          <w:trHeight w:val="1306"/>
        </w:trPr>
        <w:tc>
          <w:tcPr>
            <w:tcW w:w="4111" w:type="dxa"/>
          </w:tcPr>
          <w:p w14:paraId="43490F3B" w14:textId="77777777" w:rsidR="00EF6C9B" w:rsidRPr="00513BF0" w:rsidRDefault="00B81E88" w:rsidP="00EF6C9B">
            <w:pPr>
              <w:pStyle w:val="TableParagraph"/>
              <w:spacing w:before="27"/>
              <w:ind w:left="79" w:right="69"/>
              <w:jc w:val="both"/>
              <w:rPr>
                <w:rFonts w:cs="Times New Roman"/>
                <w:sz w:val="20"/>
                <w:szCs w:val="20"/>
              </w:rPr>
            </w:pPr>
            <w:r w:rsidRPr="00513BF0">
              <w:rPr>
                <w:rFonts w:cs="Times New Roman"/>
                <w:b/>
                <w:sz w:val="20"/>
                <w:szCs w:val="20"/>
                <w:u w:val="single"/>
              </w:rPr>
              <w:t>Reg.2: Object of the Regulations</w:t>
            </w:r>
          </w:p>
          <w:p w14:paraId="301AE41D" w14:textId="12ADF25F" w:rsidR="00EF6C9B" w:rsidRPr="00513BF0" w:rsidRDefault="00B81E88" w:rsidP="00EF6C9B">
            <w:pPr>
              <w:pStyle w:val="TableParagraph"/>
              <w:spacing w:before="27"/>
              <w:ind w:left="79" w:right="69"/>
              <w:jc w:val="both"/>
              <w:rPr>
                <w:rFonts w:cs="Times New Roman"/>
                <w:sz w:val="20"/>
                <w:szCs w:val="20"/>
              </w:rPr>
            </w:pPr>
            <w:r>
              <w:rPr>
                <w:sz w:val="20"/>
                <w:szCs w:val="20"/>
              </w:rPr>
              <w:t xml:space="preserve">Reg 2(1)(a) provides that one of the objects of </w:t>
            </w:r>
            <w:r w:rsidRPr="00513BF0">
              <w:rPr>
                <w:rFonts w:cs="Times New Roman"/>
                <w:sz w:val="20"/>
                <w:szCs w:val="20"/>
              </w:rPr>
              <w:t>this proposed regulations is to “utilized spectrum fees to enforce efficient use of ra</w:t>
            </w:r>
            <w:r>
              <w:rPr>
                <w:sz w:val="20"/>
                <w:szCs w:val="20"/>
              </w:rPr>
              <w:t>dio frequency spectrum through optimum occupancy thereof</w:t>
            </w:r>
            <w:r w:rsidRPr="00513BF0">
              <w:rPr>
                <w:rFonts w:cs="Times New Roman"/>
                <w:sz w:val="20"/>
                <w:szCs w:val="20"/>
              </w:rPr>
              <w:t xml:space="preserve"> and implementation of more spectrally efficient equipment”.</w:t>
            </w:r>
            <w:r w:rsidR="00EF6C9B" w:rsidRPr="00513BF0">
              <w:rPr>
                <w:rFonts w:cs="Times New Roman"/>
                <w:sz w:val="20"/>
                <w:szCs w:val="20"/>
              </w:rPr>
              <w:t xml:space="preserve"> </w:t>
            </w:r>
          </w:p>
          <w:p w14:paraId="6980B96C" w14:textId="4AF18F7F" w:rsidR="00B81E88" w:rsidRPr="00513BF0" w:rsidRDefault="00B81E88" w:rsidP="0071745C">
            <w:pPr>
              <w:pStyle w:val="TableParagraph"/>
              <w:ind w:left="80"/>
              <w:rPr>
                <w:rFonts w:cs="Times New Roman"/>
                <w:sz w:val="20"/>
                <w:szCs w:val="20"/>
              </w:rPr>
            </w:pPr>
          </w:p>
          <w:p w14:paraId="7E855D57" w14:textId="77777777"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We suggest that the Authority not confine the object of achieving efficient use of spectrum equipment alone, and recommend that spectrally efficient services be included as well. Spectrum efficiency is not only achieved through the deployment of equipment, but is also achieved through technologically advanced services that align with such equipment i.e. digital wireless services that accommodate several compression techniques deployed through various equipment</w:t>
            </w:r>
          </w:p>
          <w:p w14:paraId="2B897A34" w14:textId="1AD528A7" w:rsidR="00B81E88" w:rsidRPr="00513BF0" w:rsidRDefault="00B81E88" w:rsidP="0071745C">
            <w:pPr>
              <w:pStyle w:val="TableParagraph"/>
              <w:ind w:left="80"/>
              <w:rPr>
                <w:rFonts w:cs="Times New Roman"/>
                <w:sz w:val="20"/>
                <w:szCs w:val="20"/>
              </w:rPr>
            </w:pPr>
          </w:p>
          <w:p w14:paraId="5421DFE0" w14:textId="411DD51C"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According, we submit that reg. 2(1)(a) should be amended to include the words “and services” following the phrase “implementation of more spectrally efficient equipment</w:t>
            </w:r>
            <w:r w:rsidR="000437B1" w:rsidRPr="000437B1">
              <w:rPr>
                <w:rFonts w:cs="Times New Roman"/>
                <w:color w:val="00B050"/>
                <w:sz w:val="20"/>
                <w:szCs w:val="20"/>
              </w:rPr>
              <w:t>”</w:t>
            </w:r>
            <w:r w:rsidRPr="000437B1">
              <w:rPr>
                <w:rFonts w:cs="Times New Roman"/>
                <w:sz w:val="20"/>
                <w:szCs w:val="20"/>
              </w:rPr>
              <w:t>.</w:t>
            </w:r>
            <w:r w:rsidR="00EF6C9B" w:rsidRPr="000437B1">
              <w:rPr>
                <w:rFonts w:cs="Times New Roman"/>
                <w:sz w:val="20"/>
                <w:szCs w:val="20"/>
              </w:rPr>
              <w:t xml:space="preserve"> </w:t>
            </w:r>
          </w:p>
        </w:tc>
        <w:tc>
          <w:tcPr>
            <w:tcW w:w="4536" w:type="dxa"/>
          </w:tcPr>
          <w:p w14:paraId="32967D0D" w14:textId="25988262"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The Authority considered this recommendation and the change was made accordingly to add the words “and services” to regulation 2.</w:t>
            </w:r>
            <w:r w:rsidR="00EF6C9B" w:rsidRPr="00513BF0">
              <w:rPr>
                <w:rFonts w:cs="Times New Roman"/>
                <w:sz w:val="20"/>
                <w:szCs w:val="20"/>
              </w:rPr>
              <w:t xml:space="preserve"> </w:t>
            </w:r>
          </w:p>
        </w:tc>
      </w:tr>
      <w:tr w:rsidR="00B81E88" w:rsidRPr="00513BF0" w14:paraId="1EB01A34" w14:textId="77777777" w:rsidTr="00B865C8">
        <w:trPr>
          <w:trHeight w:val="1929"/>
        </w:trPr>
        <w:tc>
          <w:tcPr>
            <w:tcW w:w="4111" w:type="dxa"/>
            <w:tcBorders>
              <w:bottom w:val="nil"/>
            </w:tcBorders>
          </w:tcPr>
          <w:p w14:paraId="3C04E888" w14:textId="77777777" w:rsidR="00EF6C9B" w:rsidRPr="00513BF0" w:rsidRDefault="00B81E88" w:rsidP="00EF6C9B">
            <w:pPr>
              <w:pStyle w:val="TableParagraph"/>
              <w:spacing w:before="27"/>
              <w:ind w:left="79" w:right="69"/>
              <w:jc w:val="both"/>
              <w:rPr>
                <w:rFonts w:cs="Times New Roman"/>
                <w:sz w:val="20"/>
                <w:szCs w:val="20"/>
              </w:rPr>
            </w:pPr>
            <w:r w:rsidRPr="00513BF0">
              <w:rPr>
                <w:rFonts w:cs="Times New Roman"/>
                <w:b/>
                <w:sz w:val="20"/>
                <w:szCs w:val="20"/>
                <w:u w:val="single"/>
              </w:rPr>
              <w:t>Reg. 4(3): Refund of fees for paid forfeited, lapse</w:t>
            </w:r>
            <w:r w:rsidRPr="00513BF0">
              <w:rPr>
                <w:rFonts w:cs="Times New Roman"/>
                <w:b/>
                <w:sz w:val="20"/>
                <w:szCs w:val="20"/>
              </w:rPr>
              <w:t xml:space="preserve"> </w:t>
            </w:r>
            <w:r w:rsidRPr="00513BF0">
              <w:rPr>
                <w:rFonts w:cs="Times New Roman"/>
                <w:b/>
                <w:sz w:val="20"/>
                <w:szCs w:val="20"/>
                <w:u w:val="single"/>
              </w:rPr>
              <w:t>or discontinued licences</w:t>
            </w:r>
          </w:p>
          <w:p w14:paraId="519362D2" w14:textId="65279ED3" w:rsidR="00B81E88" w:rsidRPr="00513BF0" w:rsidRDefault="00B81E88" w:rsidP="0071745C">
            <w:pPr>
              <w:pStyle w:val="TableParagraph"/>
              <w:ind w:left="80"/>
              <w:rPr>
                <w:rFonts w:cs="Times New Roman"/>
                <w:sz w:val="20"/>
                <w:szCs w:val="20"/>
              </w:rPr>
            </w:pPr>
          </w:p>
          <w:p w14:paraId="1E42FDAA" w14:textId="7FDC7D0D"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In terms of reg. 4(3)(b), if a spectrum licences, other than a licence conferred by means of a spectrum auction, is forfeited, lapses or is discontinued prior to its expire, the licensee may be refunded for any month during which it did not utilise that radio frequency spectrum following such forfeiture, lapse, or discontinuance.</w:t>
            </w:r>
            <w:r w:rsidR="00EF6C9B" w:rsidRPr="00513BF0">
              <w:rPr>
                <w:rFonts w:cs="Times New Roman"/>
                <w:sz w:val="20"/>
                <w:szCs w:val="20"/>
              </w:rPr>
              <w:t xml:space="preserve"> </w:t>
            </w:r>
          </w:p>
        </w:tc>
        <w:tc>
          <w:tcPr>
            <w:tcW w:w="4536" w:type="dxa"/>
            <w:tcBorders>
              <w:bottom w:val="nil"/>
            </w:tcBorders>
          </w:tcPr>
          <w:p w14:paraId="0B0A2167" w14:textId="3AC1AA90"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All conditions for a spectrum conferred by spectrum auctions are set out in the Request to Bid and subsequently the Award for the Bid and licence conditions to the successful bidder. This includes payment of licence fees and consideration of refunds on forfeiture, lapsing or discontinuance as pertaining to that specific spectrum licence.</w:t>
            </w:r>
            <w:r w:rsidR="00EF6C9B" w:rsidRPr="00513BF0">
              <w:rPr>
                <w:rFonts w:cs="Times New Roman"/>
                <w:sz w:val="20"/>
                <w:szCs w:val="20"/>
              </w:rPr>
              <w:t xml:space="preserve"> </w:t>
            </w:r>
          </w:p>
        </w:tc>
      </w:tr>
      <w:tr w:rsidR="00B81E88" w:rsidRPr="00513BF0" w14:paraId="2FB7FAA9" w14:textId="77777777" w:rsidTr="00B865C8">
        <w:trPr>
          <w:trHeight w:val="1306"/>
        </w:trPr>
        <w:tc>
          <w:tcPr>
            <w:tcW w:w="4111" w:type="dxa"/>
            <w:tcBorders>
              <w:top w:val="nil"/>
            </w:tcBorders>
          </w:tcPr>
          <w:p w14:paraId="36A7A6B4" w14:textId="77777777" w:rsidR="00324FD3" w:rsidRDefault="00324FD3" w:rsidP="00EF6C9B">
            <w:pPr>
              <w:pStyle w:val="TableParagraph"/>
              <w:spacing w:before="27"/>
              <w:ind w:left="79" w:right="69"/>
              <w:jc w:val="both"/>
              <w:rPr>
                <w:rFonts w:cs="Times New Roman"/>
                <w:sz w:val="20"/>
                <w:szCs w:val="20"/>
              </w:rPr>
            </w:pPr>
          </w:p>
          <w:p w14:paraId="42439DE1" w14:textId="44817D10"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It appears that this provision for a refund has been provided because reg. 4(3)(a) states that fees in respect of any spectrum licence, other than a licence conferred by a spectrum auctions, is payable annually in advance and in full.</w:t>
            </w:r>
            <w:r w:rsidR="00EF6C9B" w:rsidRPr="00513BF0">
              <w:rPr>
                <w:rFonts w:cs="Times New Roman"/>
                <w:sz w:val="20"/>
                <w:szCs w:val="20"/>
              </w:rPr>
              <w:t xml:space="preserve"> </w:t>
            </w:r>
          </w:p>
          <w:p w14:paraId="7D9D38FB" w14:textId="4888C6E8" w:rsidR="00B81E88" w:rsidRPr="00513BF0" w:rsidRDefault="00B81E88" w:rsidP="0071745C">
            <w:pPr>
              <w:pStyle w:val="TableParagraph"/>
              <w:ind w:left="80"/>
              <w:rPr>
                <w:rFonts w:cs="Times New Roman"/>
                <w:sz w:val="20"/>
                <w:szCs w:val="20"/>
              </w:rPr>
            </w:pPr>
          </w:p>
          <w:p w14:paraId="73DA209A" w14:textId="29DA8761"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The possibility of a r</w:t>
            </w:r>
            <w:r>
              <w:rPr>
                <w:sz w:val="20"/>
                <w:szCs w:val="20"/>
              </w:rPr>
              <w:t xml:space="preserve">efund for fees paid in respect </w:t>
            </w:r>
            <w:r w:rsidRPr="00513BF0">
              <w:rPr>
                <w:rFonts w:cs="Times New Roman"/>
                <w:sz w:val="20"/>
                <w:szCs w:val="20"/>
              </w:rPr>
              <w:t>of a licence conferred by means of spectrum auction has</w:t>
            </w:r>
            <w:r w:rsidR="00873374">
              <w:rPr>
                <w:rFonts w:cs="Times New Roman"/>
                <w:sz w:val="20"/>
                <w:szCs w:val="20"/>
              </w:rPr>
              <w:t xml:space="preserve"> </w:t>
            </w:r>
            <w:r w:rsidRPr="00513BF0">
              <w:rPr>
                <w:rFonts w:cs="Times New Roman"/>
                <w:sz w:val="20"/>
                <w:szCs w:val="20"/>
              </w:rPr>
              <w:t>not been provided for in the proposed regulations.</w:t>
            </w:r>
            <w:r w:rsidR="00EF6C9B" w:rsidRPr="00513BF0">
              <w:rPr>
                <w:rFonts w:cs="Times New Roman"/>
                <w:sz w:val="20"/>
                <w:szCs w:val="20"/>
              </w:rPr>
              <w:t xml:space="preserve"> </w:t>
            </w:r>
          </w:p>
          <w:p w14:paraId="7A538B9C" w14:textId="693D6860" w:rsidR="00B81E88" w:rsidRPr="00513BF0" w:rsidRDefault="00B81E88" w:rsidP="0071745C">
            <w:pPr>
              <w:pStyle w:val="TableParagraph"/>
              <w:ind w:left="80"/>
              <w:rPr>
                <w:rFonts w:cs="Times New Roman"/>
                <w:sz w:val="20"/>
                <w:szCs w:val="20"/>
              </w:rPr>
            </w:pPr>
          </w:p>
          <w:p w14:paraId="7E531F51" w14:textId="512390F5"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While we appreciate that the terms and conditions for the payment of the auction price for spectrum conferred by means of an auction is likely to differ from bid to bid, and will be included in the Award for the Bid, reg. 10(2) of the regulations pertaining to spec</w:t>
            </w:r>
            <w:r>
              <w:rPr>
                <w:sz w:val="20"/>
                <w:szCs w:val="20"/>
              </w:rPr>
              <w:t>trum licences provides that</w:t>
            </w:r>
            <w:r w:rsidRPr="00513BF0">
              <w:rPr>
                <w:rFonts w:cs="Times New Roman"/>
                <w:sz w:val="20"/>
                <w:szCs w:val="20"/>
              </w:rPr>
              <w:t xml:space="preserve"> the spectrum licences will only be issued to the successf</w:t>
            </w:r>
            <w:r>
              <w:rPr>
                <w:sz w:val="20"/>
                <w:szCs w:val="20"/>
              </w:rPr>
              <w:t>ul bidder once the auction pric</w:t>
            </w:r>
            <w:r w:rsidR="00873374">
              <w:rPr>
                <w:sz w:val="20"/>
                <w:szCs w:val="20"/>
              </w:rPr>
              <w:t>i</w:t>
            </w:r>
            <w:r w:rsidRPr="00513BF0">
              <w:rPr>
                <w:rFonts w:cs="Times New Roman"/>
                <w:sz w:val="20"/>
                <w:szCs w:val="20"/>
              </w:rPr>
              <w:t xml:space="preserve"> is paid.</w:t>
            </w:r>
            <w:r>
              <w:rPr>
                <w:rFonts w:cs="Times New Roman"/>
                <w:sz w:val="20"/>
                <w:szCs w:val="20"/>
              </w:rPr>
              <w:t xml:space="preserve"> </w:t>
            </w:r>
            <w:r w:rsidRPr="00513BF0">
              <w:rPr>
                <w:rFonts w:cs="Times New Roman"/>
                <w:sz w:val="20"/>
                <w:szCs w:val="20"/>
              </w:rPr>
              <w:t>In other words, reg. 10(2) of the regulations pertaining to spectrum licences contemplates that fees for spectrum licences conferred by means of an auction are paid in advance.</w:t>
            </w:r>
            <w:r w:rsidR="00EF6C9B" w:rsidRPr="00513BF0">
              <w:rPr>
                <w:rFonts w:cs="Times New Roman"/>
                <w:sz w:val="20"/>
                <w:szCs w:val="20"/>
              </w:rPr>
              <w:t xml:space="preserve"> </w:t>
            </w:r>
          </w:p>
          <w:p w14:paraId="48C029DF" w14:textId="3E9BE954" w:rsidR="00B81E88" w:rsidRPr="00513BF0" w:rsidRDefault="00B81E88" w:rsidP="0071745C">
            <w:pPr>
              <w:pStyle w:val="TableParagraph"/>
              <w:ind w:left="80"/>
              <w:rPr>
                <w:rFonts w:cs="Times New Roman"/>
                <w:sz w:val="20"/>
                <w:szCs w:val="20"/>
              </w:rPr>
            </w:pPr>
          </w:p>
          <w:p w14:paraId="13EDDEC6" w14:textId="27881990"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 xml:space="preserve">Accordingly, we submit that the provision for a refund following a forfeiture, lapse, or discontinuation </w:t>
            </w:r>
            <w:r>
              <w:rPr>
                <w:sz w:val="20"/>
                <w:szCs w:val="20"/>
              </w:rPr>
              <w:t>of</w:t>
            </w:r>
            <w:r w:rsidRPr="00513BF0">
              <w:rPr>
                <w:rFonts w:cs="Times New Roman"/>
                <w:sz w:val="20"/>
                <w:szCs w:val="20"/>
              </w:rPr>
              <w:t xml:space="preserve"> a spectrum licence should be extended to include spectrum conferred by means of an auction.</w:t>
            </w:r>
            <w:r w:rsidR="00EF6C9B" w:rsidRPr="00513BF0">
              <w:rPr>
                <w:rFonts w:cs="Times New Roman"/>
                <w:sz w:val="20"/>
                <w:szCs w:val="20"/>
              </w:rPr>
              <w:t xml:space="preserve"> </w:t>
            </w:r>
          </w:p>
          <w:p w14:paraId="6BC3B2AD" w14:textId="5BB6EEA4" w:rsidR="00B81E88" w:rsidRPr="00513BF0" w:rsidRDefault="00B81E88" w:rsidP="0071745C">
            <w:pPr>
              <w:pStyle w:val="TableParagraph"/>
              <w:ind w:left="80"/>
              <w:rPr>
                <w:rFonts w:cs="Times New Roman"/>
                <w:sz w:val="20"/>
                <w:szCs w:val="20"/>
              </w:rPr>
            </w:pPr>
          </w:p>
          <w:p w14:paraId="4DAA9540" w14:textId="293DEE96"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In addition, we note that the reference to “paragraph (a)” in reg. 4(3)(c) should in fact read “paragraph (b)</w:t>
            </w:r>
            <w:r w:rsidR="00873374" w:rsidRPr="00873374">
              <w:rPr>
                <w:rFonts w:cs="Times New Roman"/>
                <w:color w:val="00B050"/>
                <w:sz w:val="20"/>
                <w:szCs w:val="20"/>
              </w:rPr>
              <w:t>”</w:t>
            </w:r>
            <w:r w:rsidRPr="00513BF0">
              <w:rPr>
                <w:rFonts w:cs="Times New Roman"/>
                <w:sz w:val="20"/>
                <w:szCs w:val="20"/>
              </w:rPr>
              <w:t>.</w:t>
            </w:r>
            <w:r w:rsidR="00EF6C9B" w:rsidRPr="00513BF0">
              <w:rPr>
                <w:rFonts w:cs="Times New Roman"/>
                <w:sz w:val="20"/>
                <w:szCs w:val="20"/>
              </w:rPr>
              <w:t xml:space="preserve"> </w:t>
            </w:r>
          </w:p>
        </w:tc>
        <w:tc>
          <w:tcPr>
            <w:tcW w:w="4536" w:type="dxa"/>
            <w:tcBorders>
              <w:top w:val="nil"/>
            </w:tcBorders>
          </w:tcPr>
          <w:p w14:paraId="062E3549" w14:textId="77777777" w:rsidR="002E64DB" w:rsidRDefault="002E64DB" w:rsidP="00EF6C9B">
            <w:pPr>
              <w:pStyle w:val="TableParagraph"/>
              <w:spacing w:before="27"/>
              <w:ind w:left="79" w:right="69"/>
              <w:jc w:val="both"/>
              <w:rPr>
                <w:rFonts w:cs="Times New Roman"/>
                <w:sz w:val="20"/>
                <w:szCs w:val="20"/>
              </w:rPr>
            </w:pPr>
          </w:p>
          <w:p w14:paraId="47C1C77C" w14:textId="60ED2EED"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 xml:space="preserve">The proposed regulations thus correctly do </w:t>
            </w:r>
            <w:r>
              <w:rPr>
                <w:sz w:val="20"/>
                <w:szCs w:val="20"/>
              </w:rPr>
              <w:t>not</w:t>
            </w:r>
            <w:r w:rsidRPr="00513BF0">
              <w:rPr>
                <w:rFonts w:cs="Times New Roman"/>
                <w:sz w:val="20"/>
                <w:szCs w:val="20"/>
              </w:rPr>
              <w:t xml:space="preserve"> apply to spectrum licences conferred by means of an auction.</w:t>
            </w:r>
            <w:r w:rsidR="00EF6C9B" w:rsidRPr="00513BF0">
              <w:rPr>
                <w:rFonts w:cs="Times New Roman"/>
                <w:sz w:val="20"/>
                <w:szCs w:val="20"/>
              </w:rPr>
              <w:t xml:space="preserve"> </w:t>
            </w:r>
          </w:p>
          <w:p w14:paraId="38B1B146" w14:textId="77777777" w:rsidR="00EF6C9B" w:rsidRPr="00513BF0" w:rsidRDefault="00EF6C9B" w:rsidP="00EF6C9B">
            <w:pPr>
              <w:pStyle w:val="TableParagraph"/>
              <w:spacing w:before="27"/>
              <w:ind w:left="79" w:right="69"/>
              <w:jc w:val="both"/>
              <w:rPr>
                <w:rFonts w:cs="Times New Roman"/>
                <w:sz w:val="20"/>
                <w:szCs w:val="20"/>
              </w:rPr>
            </w:pPr>
          </w:p>
          <w:p w14:paraId="5B5A3BE1" w14:textId="42AF9A10"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The Authority takes note of the comments made in respect of the correct referencing of paragraph (b) under regulation 4(3).</w:t>
            </w:r>
            <w:r w:rsidR="00EF6C9B" w:rsidRPr="00513BF0">
              <w:rPr>
                <w:rFonts w:cs="Times New Roman"/>
                <w:sz w:val="20"/>
                <w:szCs w:val="20"/>
              </w:rPr>
              <w:t xml:space="preserve"> </w:t>
            </w:r>
          </w:p>
        </w:tc>
      </w:tr>
      <w:tr w:rsidR="00B81E88" w:rsidRPr="00513BF0" w14:paraId="70AC3F24" w14:textId="77777777" w:rsidTr="00B865C8">
        <w:trPr>
          <w:trHeight w:val="1306"/>
        </w:trPr>
        <w:tc>
          <w:tcPr>
            <w:tcW w:w="4111" w:type="dxa"/>
          </w:tcPr>
          <w:p w14:paraId="3A0F0E01" w14:textId="77777777" w:rsidR="00EF6C9B" w:rsidRPr="00513BF0" w:rsidRDefault="00B81E88" w:rsidP="00EF6C9B">
            <w:pPr>
              <w:pStyle w:val="TableParagraph"/>
              <w:spacing w:before="27"/>
              <w:ind w:left="79" w:right="69"/>
              <w:jc w:val="both"/>
              <w:rPr>
                <w:rFonts w:cs="Times New Roman"/>
                <w:sz w:val="20"/>
                <w:szCs w:val="20"/>
              </w:rPr>
            </w:pPr>
            <w:r w:rsidRPr="00513BF0">
              <w:rPr>
                <w:rFonts w:cs="Times New Roman"/>
                <w:b/>
                <w:sz w:val="20"/>
                <w:szCs w:val="20"/>
                <w:u w:val="single"/>
              </w:rPr>
              <w:t>Para 8.2 of Table 1: Fees payable for spectrum</w:t>
            </w:r>
            <w:r w:rsidRPr="00513BF0">
              <w:rPr>
                <w:rFonts w:cs="Times New Roman"/>
                <w:b/>
                <w:sz w:val="20"/>
                <w:szCs w:val="20"/>
              </w:rPr>
              <w:t xml:space="preserve"> </w:t>
            </w:r>
            <w:r w:rsidRPr="00513BF0">
              <w:rPr>
                <w:rFonts w:cs="Times New Roman"/>
                <w:b/>
                <w:sz w:val="20"/>
                <w:szCs w:val="20"/>
                <w:u w:val="single"/>
              </w:rPr>
              <w:t>utilised for broadcasting services</w:t>
            </w:r>
          </w:p>
          <w:p w14:paraId="706B97B6" w14:textId="1C245CF6" w:rsidR="00B81E88" w:rsidRPr="00513BF0" w:rsidRDefault="00B81E88" w:rsidP="0071745C">
            <w:pPr>
              <w:pStyle w:val="TableParagraph"/>
              <w:ind w:left="80"/>
              <w:rPr>
                <w:rFonts w:cs="Times New Roman"/>
                <w:sz w:val="20"/>
                <w:szCs w:val="20"/>
              </w:rPr>
            </w:pPr>
          </w:p>
          <w:p w14:paraId="7751498A" w14:textId="1C409A41"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Para 8.2 of Table 1 of the proposed regulations prescribes the following fees for digital terrestrial television broadcasting transmitters (“DTT spectrum fees”)</w:t>
            </w:r>
            <w:r w:rsidR="00EF6C9B" w:rsidRPr="00513BF0">
              <w:rPr>
                <w:rFonts w:cs="Times New Roman"/>
                <w:sz w:val="20"/>
                <w:szCs w:val="20"/>
              </w:rPr>
              <w:t xml:space="preserve"> </w:t>
            </w:r>
          </w:p>
          <w:p w14:paraId="4EA5DD73" w14:textId="0001B069" w:rsidR="00B81E88" w:rsidRPr="00513BF0" w:rsidRDefault="00B81E88" w:rsidP="00EF6C9B">
            <w:pPr>
              <w:pStyle w:val="TableParagraph"/>
              <w:ind w:left="80"/>
              <w:rPr>
                <w:rFonts w:cs="Times New Roman"/>
                <w:sz w:val="20"/>
                <w:szCs w:val="20"/>
              </w:rPr>
            </w:pPr>
            <w:r w:rsidRPr="00513BF0">
              <w:rPr>
                <w:rFonts w:cs="Times New Roman"/>
                <w:sz w:val="20"/>
                <w:szCs w:val="20"/>
              </w:rPr>
              <w:t xml:space="preserve">(i) </w:t>
            </w:r>
            <w:r w:rsidR="00921283">
              <w:tab/>
            </w:r>
            <w:r w:rsidRPr="00513BF0">
              <w:rPr>
                <w:rFonts w:cs="Times New Roman"/>
                <w:sz w:val="20"/>
                <w:szCs w:val="20"/>
              </w:rPr>
              <w:t>N$ 9 251 for 0.000 to 100.999 Watt (ERP)</w:t>
            </w:r>
          </w:p>
          <w:p w14:paraId="4C2D6848" w14:textId="4B6C1A97" w:rsidR="00B81E88" w:rsidRPr="00513BF0" w:rsidRDefault="00B81E88" w:rsidP="0071745C">
            <w:pPr>
              <w:pStyle w:val="TableParagraph"/>
              <w:ind w:left="80"/>
              <w:rPr>
                <w:rFonts w:cs="Times New Roman"/>
                <w:sz w:val="20"/>
                <w:szCs w:val="20"/>
              </w:rPr>
            </w:pPr>
            <w:r w:rsidRPr="00513BF0">
              <w:rPr>
                <w:rFonts w:cs="Times New Roman"/>
                <w:sz w:val="20"/>
                <w:szCs w:val="20"/>
              </w:rPr>
              <w:t xml:space="preserve">(ii) </w:t>
            </w:r>
            <w:r w:rsidR="00921283">
              <w:tab/>
            </w:r>
            <w:r w:rsidRPr="00513BF0">
              <w:rPr>
                <w:rFonts w:cs="Times New Roman"/>
                <w:sz w:val="20"/>
                <w:szCs w:val="20"/>
              </w:rPr>
              <w:t>N$ 11 373 for 101.000 to 999.999 Watt (ERP)</w:t>
            </w:r>
          </w:p>
          <w:p w14:paraId="05067464" w14:textId="44F7E870" w:rsidR="00B81E88" w:rsidRPr="00513BF0" w:rsidRDefault="00B81E88" w:rsidP="0071745C">
            <w:pPr>
              <w:pStyle w:val="TableParagraph"/>
              <w:ind w:left="80"/>
              <w:rPr>
                <w:rFonts w:cs="Times New Roman"/>
                <w:sz w:val="20"/>
                <w:szCs w:val="20"/>
              </w:rPr>
            </w:pPr>
            <w:r w:rsidRPr="00513BF0">
              <w:rPr>
                <w:rFonts w:cs="Times New Roman"/>
                <w:sz w:val="20"/>
                <w:szCs w:val="20"/>
              </w:rPr>
              <w:t xml:space="preserve">(iii) </w:t>
            </w:r>
            <w:r w:rsidR="00921283">
              <w:tab/>
            </w:r>
            <w:r w:rsidRPr="00513BF0">
              <w:rPr>
                <w:rFonts w:cs="Times New Roman"/>
                <w:sz w:val="20"/>
                <w:szCs w:val="20"/>
              </w:rPr>
              <w:t>N$ 14 173 for 1000 Watt (ERP) and above</w:t>
            </w:r>
          </w:p>
          <w:p w14:paraId="63ABD8D2" w14:textId="77777777" w:rsidR="00B81E88" w:rsidRPr="00513BF0" w:rsidRDefault="00B81E88" w:rsidP="0071745C">
            <w:pPr>
              <w:pStyle w:val="TableParagraph"/>
              <w:ind w:left="80"/>
              <w:rPr>
                <w:rFonts w:cs="Times New Roman"/>
                <w:sz w:val="20"/>
                <w:szCs w:val="20"/>
              </w:rPr>
            </w:pPr>
          </w:p>
          <w:p w14:paraId="52A9EED8" w14:textId="77777777" w:rsidR="00B81E88" w:rsidRPr="00513BF0" w:rsidRDefault="00B81E88" w:rsidP="00824E90">
            <w:pPr>
              <w:pStyle w:val="TableParagraph"/>
              <w:ind w:left="80"/>
              <w:jc w:val="both"/>
              <w:rPr>
                <w:rFonts w:cs="Times New Roman"/>
                <w:sz w:val="20"/>
                <w:szCs w:val="20"/>
              </w:rPr>
            </w:pPr>
            <w:r w:rsidRPr="00513BF0">
              <w:rPr>
                <w:rFonts w:cs="Times New Roman"/>
                <w:sz w:val="20"/>
                <w:szCs w:val="20"/>
              </w:rPr>
              <w:t>This represents a 23% increase in fees from those that are prescribed in the Regulations Setting out Fees for Spectrum Licences, Certificates and Examinations, 2017.</w:t>
            </w:r>
          </w:p>
          <w:p w14:paraId="5C3CA64A" w14:textId="77777777" w:rsidR="00B81E88" w:rsidRPr="00513BF0" w:rsidRDefault="00B81E88" w:rsidP="00824E90">
            <w:pPr>
              <w:pStyle w:val="TableParagraph"/>
              <w:ind w:left="80"/>
              <w:jc w:val="both"/>
              <w:rPr>
                <w:rFonts w:cs="Times New Roman"/>
                <w:sz w:val="20"/>
                <w:szCs w:val="20"/>
              </w:rPr>
            </w:pPr>
          </w:p>
          <w:p w14:paraId="1DC44C36" w14:textId="77777777" w:rsidR="00B81E88" w:rsidRPr="00513BF0" w:rsidRDefault="00B81E88" w:rsidP="00824E90">
            <w:pPr>
              <w:pStyle w:val="TableParagraph"/>
              <w:ind w:left="80"/>
              <w:jc w:val="both"/>
              <w:rPr>
                <w:rFonts w:cs="Times New Roman"/>
                <w:sz w:val="20"/>
                <w:szCs w:val="20"/>
              </w:rPr>
            </w:pPr>
            <w:r w:rsidRPr="00513BF0">
              <w:rPr>
                <w:rFonts w:cs="Times New Roman"/>
                <w:sz w:val="20"/>
                <w:szCs w:val="20"/>
              </w:rPr>
              <w:t>We support the inclusion of reg 2(1)(c) of the proposed regulations which contemplates that the setting of spectrum fees must take into account the demand for spectrum and the impact of inflation. We believe that this is important and necessary to contained the fees for spectrum licences.</w:t>
            </w:r>
          </w:p>
          <w:p w14:paraId="0EAC799B" w14:textId="77777777" w:rsidR="00B81E88" w:rsidRPr="00513BF0" w:rsidRDefault="00B81E88" w:rsidP="00824E90">
            <w:pPr>
              <w:pStyle w:val="TableParagraph"/>
              <w:ind w:left="80"/>
              <w:jc w:val="both"/>
              <w:rPr>
                <w:rFonts w:cs="Times New Roman"/>
                <w:sz w:val="20"/>
                <w:szCs w:val="20"/>
              </w:rPr>
            </w:pPr>
          </w:p>
          <w:p w14:paraId="28D28330" w14:textId="2EFF91CB" w:rsidR="00EF6C9B" w:rsidRPr="00513BF0" w:rsidRDefault="00B81E88" w:rsidP="00824E90">
            <w:pPr>
              <w:pStyle w:val="TableParagraph"/>
              <w:spacing w:before="27"/>
              <w:ind w:left="79" w:right="69"/>
              <w:jc w:val="both"/>
              <w:rPr>
                <w:rFonts w:cs="Times New Roman"/>
                <w:sz w:val="20"/>
                <w:szCs w:val="20"/>
              </w:rPr>
            </w:pPr>
            <w:r w:rsidRPr="00513BF0">
              <w:rPr>
                <w:rFonts w:cs="Times New Roman"/>
                <w:sz w:val="20"/>
                <w:szCs w:val="20"/>
              </w:rPr>
              <w:t>We do not know how the Authority arrived at the increase in fees of 23% in the DTT spectrum fees. While we are cognizant of the objectives in reg. 2(1) of the proposed regulations to, among other things, encourage the efficient use of spectrum, discourage spectrum hoarding and recover costs incurred by the Authority, that an increase of 23% is excessive and not justified.</w:t>
            </w:r>
            <w:r w:rsidR="00EF6C9B" w:rsidRPr="00513BF0">
              <w:rPr>
                <w:rFonts w:cs="Times New Roman"/>
                <w:sz w:val="20"/>
                <w:szCs w:val="20"/>
              </w:rPr>
              <w:t xml:space="preserve"> </w:t>
            </w:r>
          </w:p>
          <w:p w14:paraId="6C2661B6" w14:textId="44666F8E" w:rsidR="00B81E88" w:rsidRPr="00513BF0" w:rsidRDefault="00B81E88" w:rsidP="0071745C">
            <w:pPr>
              <w:pStyle w:val="TableParagraph"/>
              <w:rPr>
                <w:rFonts w:cs="Times New Roman"/>
                <w:sz w:val="20"/>
                <w:szCs w:val="20"/>
              </w:rPr>
            </w:pPr>
          </w:p>
          <w:p w14:paraId="766A1218" w14:textId="5E451249"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According to the Namibia Statistics Agency, the ann</w:t>
            </w:r>
            <w:r>
              <w:rPr>
                <w:sz w:val="20"/>
                <w:szCs w:val="20"/>
              </w:rPr>
              <w:t xml:space="preserve">ual inflation rate was 2.1% as at May </w:t>
            </w:r>
            <w:r w:rsidRPr="00513BF0">
              <w:rPr>
                <w:rFonts w:cs="Times New Roman"/>
                <w:sz w:val="20"/>
                <w:szCs w:val="20"/>
              </w:rPr>
              <w:t xml:space="preserve">2020.  We </w:t>
            </w:r>
            <w:r>
              <w:rPr>
                <w:sz w:val="20"/>
                <w:szCs w:val="20"/>
              </w:rPr>
              <w:t xml:space="preserve">submit that the current demand for </w:t>
            </w:r>
            <w:r w:rsidRPr="00513BF0">
              <w:rPr>
                <w:rFonts w:cs="Times New Roman"/>
                <w:sz w:val="20"/>
                <w:szCs w:val="20"/>
              </w:rPr>
              <w:t>spectrum in Namibia and the current inflation rate does not warrant a 23% increase in DTT spectrum fees.</w:t>
            </w:r>
            <w:r w:rsidR="00EF6C9B" w:rsidRPr="00513BF0">
              <w:rPr>
                <w:rFonts w:cs="Times New Roman"/>
                <w:sz w:val="20"/>
                <w:szCs w:val="20"/>
              </w:rPr>
              <w:t xml:space="preserve"> </w:t>
            </w:r>
          </w:p>
          <w:p w14:paraId="0CBEED83" w14:textId="3C4677AE" w:rsidR="00B81E88" w:rsidRPr="00513BF0" w:rsidRDefault="00B81E88" w:rsidP="0071745C">
            <w:pPr>
              <w:pStyle w:val="TableParagraph"/>
              <w:ind w:left="80"/>
              <w:rPr>
                <w:rFonts w:cs="Times New Roman"/>
                <w:sz w:val="20"/>
                <w:szCs w:val="20"/>
              </w:rPr>
            </w:pPr>
          </w:p>
          <w:p w14:paraId="243BBD3E" w14:textId="22D7AB7F"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Additionally, the move of broadcasters from providing analogue to digital services, has opened up a considerable portion of spectrum to be utilized by other services and reduced the Authority’s cost of managing spectrum.</w:t>
            </w:r>
            <w:r w:rsidR="00EF6C9B" w:rsidRPr="00513BF0">
              <w:rPr>
                <w:rFonts w:cs="Times New Roman"/>
                <w:sz w:val="20"/>
                <w:szCs w:val="20"/>
              </w:rPr>
              <w:t xml:space="preserve"> </w:t>
            </w:r>
          </w:p>
          <w:p w14:paraId="0D3069A2" w14:textId="6984BC61" w:rsidR="00B81E88" w:rsidRPr="00513BF0" w:rsidRDefault="00B81E88" w:rsidP="0071745C">
            <w:pPr>
              <w:pStyle w:val="TableParagraph"/>
              <w:ind w:left="80"/>
              <w:rPr>
                <w:rFonts w:cs="Times New Roman"/>
                <w:sz w:val="20"/>
                <w:szCs w:val="20"/>
              </w:rPr>
            </w:pPr>
          </w:p>
          <w:p w14:paraId="15513296" w14:textId="0E30E7E7"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Accordingly, we request that the Authority reconsider the percentage increase in DTT spectrum fees</w:t>
            </w:r>
            <w:r w:rsidR="00EF6C9B">
              <w:rPr>
                <w:rFonts w:cs="Times New Roman"/>
                <w:sz w:val="20"/>
                <w:szCs w:val="20"/>
              </w:rPr>
              <w:t>.</w:t>
            </w:r>
          </w:p>
        </w:tc>
        <w:tc>
          <w:tcPr>
            <w:tcW w:w="4536" w:type="dxa"/>
          </w:tcPr>
          <w:p w14:paraId="292957FA" w14:textId="3220CF6A"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The spectrum fees published in 2017 were based on CPI up to 2015. The Authority has not implemented annual increases since 2017, but kept the spectrum fees at the same level for 4 years. The proposed fees will only come into effect 1 January</w:t>
            </w:r>
            <w:r w:rsidRPr="00513BF0">
              <w:rPr>
                <w:rFonts w:cs="Times New Roman"/>
                <w:spacing w:val="-6"/>
                <w:sz w:val="20"/>
                <w:szCs w:val="20"/>
              </w:rPr>
              <w:t xml:space="preserve"> </w:t>
            </w:r>
            <w:r w:rsidRPr="00513BF0">
              <w:rPr>
                <w:rFonts w:cs="Times New Roman"/>
                <w:sz w:val="20"/>
                <w:szCs w:val="20"/>
              </w:rPr>
              <w:t>2021.</w:t>
            </w:r>
            <w:r w:rsidR="00EF6C9B" w:rsidRPr="00513BF0">
              <w:rPr>
                <w:rFonts w:cs="Times New Roman"/>
                <w:sz w:val="20"/>
                <w:szCs w:val="20"/>
              </w:rPr>
              <w:t xml:space="preserve"> </w:t>
            </w:r>
          </w:p>
          <w:p w14:paraId="34AAC3C4" w14:textId="77777777" w:rsidR="00EF6C9B" w:rsidRPr="00513BF0" w:rsidRDefault="00EF6C9B" w:rsidP="00EF6C9B">
            <w:pPr>
              <w:pStyle w:val="TableParagraph"/>
              <w:spacing w:before="27"/>
              <w:ind w:left="79" w:right="69"/>
              <w:jc w:val="both"/>
              <w:rPr>
                <w:rFonts w:cs="Times New Roman"/>
                <w:sz w:val="20"/>
                <w:szCs w:val="20"/>
              </w:rPr>
            </w:pPr>
          </w:p>
          <w:p w14:paraId="2F22C4DD" w14:textId="35DAE416" w:rsidR="00EF6C9B"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Administrative</w:t>
            </w:r>
            <w:r w:rsidRPr="00513BF0">
              <w:rPr>
                <w:rFonts w:cs="Times New Roman"/>
                <w:spacing w:val="-9"/>
                <w:sz w:val="20"/>
                <w:szCs w:val="20"/>
              </w:rPr>
              <w:t xml:space="preserve"> </w:t>
            </w:r>
            <w:r w:rsidRPr="00513BF0">
              <w:rPr>
                <w:rFonts w:cs="Times New Roman"/>
                <w:sz w:val="20"/>
                <w:szCs w:val="20"/>
              </w:rPr>
              <w:t>fees</w:t>
            </w:r>
            <w:r w:rsidRPr="00513BF0">
              <w:rPr>
                <w:rFonts w:cs="Times New Roman"/>
                <w:spacing w:val="-8"/>
                <w:sz w:val="20"/>
                <w:szCs w:val="20"/>
              </w:rPr>
              <w:t xml:space="preserve"> </w:t>
            </w:r>
            <w:r w:rsidRPr="00513BF0">
              <w:rPr>
                <w:rFonts w:cs="Times New Roman"/>
                <w:sz w:val="20"/>
                <w:szCs w:val="20"/>
              </w:rPr>
              <w:t>have</w:t>
            </w:r>
            <w:r w:rsidRPr="00513BF0">
              <w:rPr>
                <w:rFonts w:cs="Times New Roman"/>
                <w:spacing w:val="-9"/>
                <w:sz w:val="20"/>
                <w:szCs w:val="20"/>
              </w:rPr>
              <w:t xml:space="preserve"> </w:t>
            </w:r>
            <w:r w:rsidRPr="00513BF0">
              <w:rPr>
                <w:rFonts w:cs="Times New Roman"/>
                <w:sz w:val="20"/>
                <w:szCs w:val="20"/>
              </w:rPr>
              <w:t>been</w:t>
            </w:r>
            <w:r w:rsidRPr="00513BF0">
              <w:rPr>
                <w:rFonts w:cs="Times New Roman"/>
                <w:spacing w:val="-8"/>
                <w:sz w:val="20"/>
                <w:szCs w:val="20"/>
              </w:rPr>
              <w:t xml:space="preserve"> </w:t>
            </w:r>
            <w:r w:rsidRPr="00513BF0">
              <w:rPr>
                <w:rFonts w:cs="Times New Roman"/>
                <w:sz w:val="20"/>
                <w:szCs w:val="20"/>
              </w:rPr>
              <w:t>set</w:t>
            </w:r>
            <w:r w:rsidRPr="00513BF0">
              <w:rPr>
                <w:rFonts w:cs="Times New Roman"/>
                <w:spacing w:val="-9"/>
                <w:sz w:val="20"/>
                <w:szCs w:val="20"/>
              </w:rPr>
              <w:t xml:space="preserve"> </w:t>
            </w:r>
            <w:r w:rsidRPr="00513BF0">
              <w:rPr>
                <w:rFonts w:cs="Times New Roman"/>
                <w:sz w:val="20"/>
                <w:szCs w:val="20"/>
              </w:rPr>
              <w:t>in</w:t>
            </w:r>
            <w:r w:rsidRPr="00513BF0">
              <w:rPr>
                <w:rFonts w:cs="Times New Roman"/>
                <w:spacing w:val="-8"/>
                <w:sz w:val="20"/>
                <w:szCs w:val="20"/>
              </w:rPr>
              <w:t xml:space="preserve"> </w:t>
            </w:r>
            <w:r w:rsidRPr="00513BF0">
              <w:rPr>
                <w:rFonts w:cs="Times New Roman"/>
                <w:sz w:val="20"/>
                <w:szCs w:val="20"/>
              </w:rPr>
              <w:t>accordance</w:t>
            </w:r>
            <w:r w:rsidRPr="00513BF0">
              <w:rPr>
                <w:rFonts w:cs="Times New Roman"/>
                <w:spacing w:val="-9"/>
                <w:sz w:val="20"/>
                <w:szCs w:val="20"/>
              </w:rPr>
              <w:t xml:space="preserve"> </w:t>
            </w:r>
            <w:r w:rsidRPr="00513BF0">
              <w:rPr>
                <w:rFonts w:cs="Times New Roman"/>
                <w:sz w:val="20"/>
                <w:szCs w:val="20"/>
              </w:rPr>
              <w:t>with the CPIs of 2016,</w:t>
            </w:r>
            <w:r w:rsidR="00824E90">
              <w:rPr>
                <w:rFonts w:cs="Times New Roman"/>
                <w:sz w:val="20"/>
                <w:szCs w:val="20"/>
              </w:rPr>
              <w:t xml:space="preserve"> </w:t>
            </w:r>
            <w:r w:rsidRPr="00513BF0">
              <w:rPr>
                <w:rFonts w:cs="Times New Roman"/>
                <w:sz w:val="20"/>
                <w:szCs w:val="20"/>
              </w:rPr>
              <w:t>2017,</w:t>
            </w:r>
            <w:r w:rsidR="00824E90">
              <w:rPr>
                <w:rFonts w:cs="Times New Roman"/>
                <w:sz w:val="20"/>
                <w:szCs w:val="20"/>
              </w:rPr>
              <w:t xml:space="preserve"> </w:t>
            </w:r>
            <w:r w:rsidRPr="00513BF0">
              <w:rPr>
                <w:rFonts w:cs="Times New Roman"/>
                <w:sz w:val="20"/>
                <w:szCs w:val="20"/>
              </w:rPr>
              <w:t>2018 and 2019 amounting to 23%, but the increase is 23% cumulatively, as well as the total cost of spectrum management. The Authority has however taken into consideration the oral and written input from licensees and capped the total increase to 12%. Spectrum fees will be</w:t>
            </w:r>
            <w:r w:rsidRPr="00513BF0">
              <w:rPr>
                <w:rFonts w:cs="Times New Roman"/>
                <w:spacing w:val="-26"/>
                <w:sz w:val="20"/>
                <w:szCs w:val="20"/>
              </w:rPr>
              <w:t xml:space="preserve"> </w:t>
            </w:r>
            <w:r w:rsidRPr="00513BF0">
              <w:rPr>
                <w:rFonts w:cs="Times New Roman"/>
                <w:sz w:val="20"/>
                <w:szCs w:val="20"/>
              </w:rPr>
              <w:t>adjusted annually by the CPI as published by</w:t>
            </w:r>
            <w:r w:rsidRPr="00513BF0">
              <w:rPr>
                <w:rFonts w:cs="Times New Roman"/>
                <w:spacing w:val="-2"/>
                <w:sz w:val="20"/>
                <w:szCs w:val="20"/>
              </w:rPr>
              <w:t xml:space="preserve"> </w:t>
            </w:r>
            <w:r w:rsidRPr="00513BF0">
              <w:rPr>
                <w:rFonts w:cs="Times New Roman"/>
                <w:sz w:val="20"/>
                <w:szCs w:val="20"/>
              </w:rPr>
              <w:t>NSA.</w:t>
            </w:r>
            <w:r w:rsidR="00EF6C9B" w:rsidRPr="00513BF0">
              <w:rPr>
                <w:rFonts w:cs="Times New Roman"/>
                <w:sz w:val="20"/>
                <w:szCs w:val="20"/>
              </w:rPr>
              <w:t xml:space="preserve"> </w:t>
            </w:r>
          </w:p>
          <w:p w14:paraId="68FE5D01" w14:textId="77777777" w:rsidR="00EF6C9B" w:rsidRPr="00513BF0" w:rsidRDefault="00EF6C9B" w:rsidP="00EF6C9B">
            <w:pPr>
              <w:pStyle w:val="TableParagraph"/>
              <w:spacing w:before="27"/>
              <w:ind w:left="79" w:right="69"/>
              <w:jc w:val="both"/>
              <w:rPr>
                <w:rFonts w:cs="Times New Roman"/>
                <w:sz w:val="20"/>
                <w:szCs w:val="20"/>
              </w:rPr>
            </w:pPr>
          </w:p>
          <w:p w14:paraId="7A38D0B9" w14:textId="469F7F01" w:rsidR="00B81E88" w:rsidRPr="00513BF0" w:rsidRDefault="00B81E88" w:rsidP="00824E90">
            <w:pPr>
              <w:pStyle w:val="TableParagraph"/>
              <w:spacing w:before="27"/>
              <w:ind w:left="79" w:right="69"/>
              <w:jc w:val="both"/>
              <w:rPr>
                <w:rFonts w:cs="Times New Roman"/>
                <w:sz w:val="20"/>
                <w:szCs w:val="20"/>
              </w:rPr>
            </w:pPr>
            <w:r w:rsidRPr="00513BF0">
              <w:rPr>
                <w:rFonts w:cs="Times New Roman"/>
                <w:sz w:val="20"/>
                <w:szCs w:val="20"/>
              </w:rPr>
              <w:t>The migration from analogue to digital terrestrial television</w:t>
            </w:r>
            <w:r w:rsidRPr="00513BF0">
              <w:rPr>
                <w:rFonts w:cs="Times New Roman"/>
                <w:spacing w:val="-6"/>
                <w:sz w:val="20"/>
                <w:szCs w:val="20"/>
              </w:rPr>
              <w:t xml:space="preserve"> </w:t>
            </w:r>
            <w:r w:rsidRPr="00513BF0">
              <w:rPr>
                <w:rFonts w:cs="Times New Roman"/>
                <w:sz w:val="20"/>
                <w:szCs w:val="20"/>
              </w:rPr>
              <w:t>services</w:t>
            </w:r>
            <w:r w:rsidRPr="00513BF0">
              <w:rPr>
                <w:rFonts w:cs="Times New Roman"/>
                <w:spacing w:val="-6"/>
                <w:sz w:val="20"/>
                <w:szCs w:val="20"/>
              </w:rPr>
              <w:t xml:space="preserve"> </w:t>
            </w:r>
            <w:r w:rsidRPr="00513BF0">
              <w:rPr>
                <w:rFonts w:cs="Times New Roman"/>
                <w:sz w:val="20"/>
                <w:szCs w:val="20"/>
              </w:rPr>
              <w:t>did</w:t>
            </w:r>
            <w:r w:rsidRPr="00513BF0">
              <w:rPr>
                <w:rFonts w:cs="Times New Roman"/>
                <w:spacing w:val="-6"/>
                <w:sz w:val="20"/>
                <w:szCs w:val="20"/>
              </w:rPr>
              <w:t xml:space="preserve"> </w:t>
            </w:r>
            <w:r w:rsidRPr="00513BF0">
              <w:rPr>
                <w:rFonts w:cs="Times New Roman"/>
                <w:sz w:val="20"/>
                <w:szCs w:val="20"/>
              </w:rPr>
              <w:t>not</w:t>
            </w:r>
            <w:r w:rsidRPr="00513BF0">
              <w:rPr>
                <w:rFonts w:cs="Times New Roman"/>
                <w:spacing w:val="-6"/>
                <w:sz w:val="20"/>
                <w:szCs w:val="20"/>
              </w:rPr>
              <w:t xml:space="preserve"> </w:t>
            </w:r>
            <w:r w:rsidRPr="00513BF0">
              <w:rPr>
                <w:rFonts w:cs="Times New Roman"/>
                <w:sz w:val="20"/>
                <w:szCs w:val="20"/>
              </w:rPr>
              <w:t>lower</w:t>
            </w:r>
            <w:r w:rsidRPr="00513BF0">
              <w:rPr>
                <w:rFonts w:cs="Times New Roman"/>
                <w:spacing w:val="-5"/>
                <w:sz w:val="20"/>
                <w:szCs w:val="20"/>
              </w:rPr>
              <w:t xml:space="preserve"> </w:t>
            </w:r>
            <w:r w:rsidRPr="00513BF0">
              <w:rPr>
                <w:rFonts w:cs="Times New Roman"/>
                <w:sz w:val="20"/>
                <w:szCs w:val="20"/>
              </w:rPr>
              <w:t>the</w:t>
            </w:r>
            <w:r w:rsidRPr="00513BF0">
              <w:rPr>
                <w:rFonts w:cs="Times New Roman"/>
                <w:spacing w:val="-6"/>
                <w:sz w:val="20"/>
                <w:szCs w:val="20"/>
              </w:rPr>
              <w:t xml:space="preserve"> </w:t>
            </w:r>
            <w:r w:rsidRPr="00513BF0">
              <w:rPr>
                <w:rFonts w:cs="Times New Roman"/>
                <w:sz w:val="20"/>
                <w:szCs w:val="20"/>
              </w:rPr>
              <w:t>cost</w:t>
            </w:r>
            <w:r w:rsidRPr="00513BF0">
              <w:rPr>
                <w:rFonts w:cs="Times New Roman"/>
                <w:spacing w:val="-6"/>
                <w:sz w:val="20"/>
                <w:szCs w:val="20"/>
              </w:rPr>
              <w:t xml:space="preserve"> </w:t>
            </w:r>
            <w:r w:rsidRPr="00513BF0">
              <w:rPr>
                <w:rFonts w:cs="Times New Roman"/>
                <w:sz w:val="20"/>
                <w:szCs w:val="20"/>
              </w:rPr>
              <w:t>of</w:t>
            </w:r>
            <w:r w:rsidRPr="00513BF0">
              <w:rPr>
                <w:rFonts w:cs="Times New Roman"/>
                <w:spacing w:val="-6"/>
                <w:sz w:val="20"/>
                <w:szCs w:val="20"/>
              </w:rPr>
              <w:t xml:space="preserve"> </w:t>
            </w:r>
            <w:r w:rsidRPr="00513BF0">
              <w:rPr>
                <w:rFonts w:cs="Times New Roman"/>
                <w:sz w:val="20"/>
                <w:szCs w:val="20"/>
              </w:rPr>
              <w:t xml:space="preserve">spectrum management in that </w:t>
            </w:r>
            <w:r w:rsidRPr="00824E90">
              <w:rPr>
                <w:rFonts w:cs="Times New Roman"/>
                <w:sz w:val="20"/>
                <w:szCs w:val="20"/>
              </w:rPr>
              <w:t xml:space="preserve">the </w:t>
            </w:r>
            <w:r w:rsidR="00824E90" w:rsidRPr="00824E90">
              <w:rPr>
                <w:rFonts w:cs="Times New Roman"/>
                <w:sz w:val="20"/>
                <w:szCs w:val="20"/>
              </w:rPr>
              <w:t>A</w:t>
            </w:r>
            <w:r w:rsidRPr="00824E90">
              <w:rPr>
                <w:rFonts w:cs="Times New Roman"/>
                <w:sz w:val="20"/>
                <w:szCs w:val="20"/>
              </w:rPr>
              <w:t>uthority</w:t>
            </w:r>
            <w:r w:rsidRPr="00513BF0">
              <w:rPr>
                <w:rFonts w:cs="Times New Roman"/>
                <w:sz w:val="20"/>
                <w:szCs w:val="20"/>
              </w:rPr>
              <w:t xml:space="preserve"> still has to manage spectrum in the spectrum band 174-230 MHz and 470-694 MHz now allocated to DTT television services.</w:t>
            </w:r>
            <w:r w:rsidRPr="00513BF0">
              <w:rPr>
                <w:rFonts w:cs="Times New Roman"/>
                <w:spacing w:val="-9"/>
                <w:sz w:val="20"/>
                <w:szCs w:val="20"/>
              </w:rPr>
              <w:t xml:space="preserve"> </w:t>
            </w:r>
            <w:r w:rsidRPr="00513BF0">
              <w:rPr>
                <w:rFonts w:cs="Times New Roman"/>
                <w:sz w:val="20"/>
                <w:szCs w:val="20"/>
              </w:rPr>
              <w:t>The</w:t>
            </w:r>
            <w:r w:rsidRPr="00513BF0">
              <w:rPr>
                <w:rFonts w:cs="Times New Roman"/>
                <w:spacing w:val="-16"/>
                <w:sz w:val="20"/>
                <w:szCs w:val="20"/>
              </w:rPr>
              <w:t xml:space="preserve"> </w:t>
            </w:r>
            <w:r w:rsidRPr="00513BF0">
              <w:rPr>
                <w:rFonts w:cs="Times New Roman"/>
                <w:sz w:val="20"/>
                <w:szCs w:val="20"/>
              </w:rPr>
              <w:t>Authority</w:t>
            </w:r>
            <w:r w:rsidRPr="00513BF0">
              <w:rPr>
                <w:rFonts w:cs="Times New Roman"/>
                <w:spacing w:val="-6"/>
                <w:sz w:val="20"/>
                <w:szCs w:val="20"/>
              </w:rPr>
              <w:t xml:space="preserve"> </w:t>
            </w:r>
            <w:r w:rsidRPr="00513BF0">
              <w:rPr>
                <w:rFonts w:cs="Times New Roman"/>
                <w:sz w:val="20"/>
                <w:szCs w:val="20"/>
              </w:rPr>
              <w:t>is</w:t>
            </w:r>
            <w:r w:rsidRPr="00513BF0">
              <w:rPr>
                <w:rFonts w:cs="Times New Roman"/>
                <w:spacing w:val="-5"/>
                <w:sz w:val="20"/>
                <w:szCs w:val="20"/>
              </w:rPr>
              <w:t xml:space="preserve"> </w:t>
            </w:r>
            <w:r w:rsidRPr="00513BF0">
              <w:rPr>
                <w:rFonts w:cs="Times New Roman"/>
                <w:sz w:val="20"/>
                <w:szCs w:val="20"/>
              </w:rPr>
              <w:t>thus</w:t>
            </w:r>
            <w:r w:rsidRPr="00513BF0">
              <w:rPr>
                <w:rFonts w:cs="Times New Roman"/>
                <w:spacing w:val="-5"/>
                <w:sz w:val="20"/>
                <w:szCs w:val="20"/>
              </w:rPr>
              <w:t xml:space="preserve"> </w:t>
            </w:r>
            <w:r w:rsidRPr="00513BF0">
              <w:rPr>
                <w:rFonts w:cs="Times New Roman"/>
                <w:sz w:val="20"/>
                <w:szCs w:val="20"/>
              </w:rPr>
              <w:t>of</w:t>
            </w:r>
            <w:r w:rsidRPr="00513BF0">
              <w:rPr>
                <w:rFonts w:cs="Times New Roman"/>
                <w:spacing w:val="-4"/>
                <w:sz w:val="20"/>
                <w:szCs w:val="20"/>
              </w:rPr>
              <w:t xml:space="preserve"> </w:t>
            </w:r>
            <w:r w:rsidRPr="00513BF0">
              <w:rPr>
                <w:rFonts w:cs="Times New Roman"/>
                <w:sz w:val="20"/>
                <w:szCs w:val="20"/>
              </w:rPr>
              <w:t>the</w:t>
            </w:r>
            <w:r w:rsidRPr="00513BF0">
              <w:rPr>
                <w:rFonts w:cs="Times New Roman"/>
                <w:spacing w:val="-6"/>
                <w:sz w:val="20"/>
                <w:szCs w:val="20"/>
              </w:rPr>
              <w:t xml:space="preserve"> </w:t>
            </w:r>
            <w:r w:rsidRPr="00513BF0">
              <w:rPr>
                <w:rFonts w:cs="Times New Roman"/>
                <w:sz w:val="20"/>
                <w:szCs w:val="20"/>
              </w:rPr>
              <w:t>opinion</w:t>
            </w:r>
            <w:r w:rsidRPr="00513BF0">
              <w:rPr>
                <w:rFonts w:cs="Times New Roman"/>
                <w:spacing w:val="-6"/>
                <w:sz w:val="20"/>
                <w:szCs w:val="20"/>
              </w:rPr>
              <w:t xml:space="preserve"> </w:t>
            </w:r>
            <w:r w:rsidRPr="00513BF0">
              <w:rPr>
                <w:rFonts w:cs="Times New Roman"/>
                <w:sz w:val="20"/>
                <w:szCs w:val="20"/>
              </w:rPr>
              <w:t>that</w:t>
            </w:r>
            <w:r w:rsidRPr="00513BF0">
              <w:rPr>
                <w:rFonts w:cs="Times New Roman"/>
                <w:spacing w:val="-6"/>
                <w:sz w:val="20"/>
                <w:szCs w:val="20"/>
              </w:rPr>
              <w:t xml:space="preserve"> </w:t>
            </w:r>
            <w:r w:rsidRPr="00513BF0">
              <w:rPr>
                <w:rFonts w:cs="Times New Roman"/>
                <w:sz w:val="20"/>
                <w:szCs w:val="20"/>
              </w:rPr>
              <w:t>the aforementioned migration has no effect that requires a reduction in spectrum</w:t>
            </w:r>
            <w:r w:rsidRPr="00513BF0">
              <w:rPr>
                <w:rFonts w:cs="Times New Roman"/>
                <w:spacing w:val="-2"/>
                <w:sz w:val="20"/>
                <w:szCs w:val="20"/>
              </w:rPr>
              <w:t xml:space="preserve"> </w:t>
            </w:r>
            <w:r w:rsidRPr="00513BF0">
              <w:rPr>
                <w:rFonts w:cs="Times New Roman"/>
                <w:sz w:val="20"/>
                <w:szCs w:val="20"/>
              </w:rPr>
              <w:t>fees.</w:t>
            </w:r>
            <w:r w:rsidR="00EF6C9B" w:rsidRPr="00513BF0">
              <w:rPr>
                <w:rFonts w:cs="Times New Roman"/>
                <w:sz w:val="20"/>
                <w:szCs w:val="20"/>
              </w:rPr>
              <w:t xml:space="preserve"> </w:t>
            </w:r>
          </w:p>
        </w:tc>
      </w:tr>
      <w:tr w:rsidR="00B81E88" w:rsidRPr="00513BF0" w14:paraId="0A58A4C3" w14:textId="77777777" w:rsidTr="00B865C8">
        <w:trPr>
          <w:trHeight w:val="1306"/>
        </w:trPr>
        <w:tc>
          <w:tcPr>
            <w:tcW w:w="4111" w:type="dxa"/>
          </w:tcPr>
          <w:p w14:paraId="1AFF4489" w14:textId="0BC62108"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We request that the Authority consider the impact of a flat fee for spectrum licences (as opposed to a formula based fee that is applicable to telecommunications service providers) on the incentive for broadcasters to provide services in non- urban areas with low population density in terms of the proposed regulations. Broadcasters may pay a flat fee regardless of whether their services are provided in urban or non-urban areas. Providing services in areas with low population</w:t>
            </w:r>
            <w:r>
              <w:rPr>
                <w:sz w:val="20"/>
                <w:szCs w:val="20"/>
              </w:rPr>
              <w:t xml:space="preserve"> density is </w:t>
            </w:r>
            <w:r w:rsidRPr="00513BF0">
              <w:rPr>
                <w:rFonts w:cs="Times New Roman"/>
                <w:sz w:val="20"/>
                <w:szCs w:val="20"/>
              </w:rPr>
              <w:t>costlier  and it takes longer to achieve a return on investment, since the costs are spread across lesser number of subscribers than in urban areas. A flat fee regardless of whether services are provided in urban or non- urban areas potentially has the effect of discouraging broadcasters from rolling out equipment and services to non-urban areas.</w:t>
            </w:r>
            <w:r w:rsidR="009C7F3E" w:rsidRPr="00513BF0">
              <w:rPr>
                <w:rFonts w:cs="Times New Roman"/>
                <w:sz w:val="20"/>
                <w:szCs w:val="20"/>
              </w:rPr>
              <w:t xml:space="preserve"> </w:t>
            </w:r>
            <w:r w:rsidR="00EF6C9B" w:rsidRPr="00513BF0">
              <w:rPr>
                <w:rFonts w:cs="Times New Roman"/>
                <w:sz w:val="20"/>
                <w:szCs w:val="20"/>
              </w:rPr>
              <w:t xml:space="preserve"> </w:t>
            </w:r>
          </w:p>
        </w:tc>
        <w:tc>
          <w:tcPr>
            <w:tcW w:w="4536" w:type="dxa"/>
          </w:tcPr>
          <w:p w14:paraId="3131F88E" w14:textId="23DE7A96" w:rsidR="00EF6C9B" w:rsidRDefault="00B81E88" w:rsidP="00EF6C9B">
            <w:pPr>
              <w:pStyle w:val="TableParagraph"/>
              <w:spacing w:before="27"/>
              <w:ind w:left="79" w:right="69"/>
              <w:jc w:val="both"/>
              <w:rPr>
                <w:rFonts w:cs="Times New Roman"/>
                <w:sz w:val="20"/>
                <w:szCs w:val="20"/>
              </w:rPr>
            </w:pPr>
            <w:r w:rsidRPr="00513BF0">
              <w:rPr>
                <w:rFonts w:cs="Times New Roman"/>
                <w:sz w:val="20"/>
                <w:szCs w:val="20"/>
              </w:rPr>
              <w:t>The Authority is of the opinion that flat fees are appropriate for the broadcasting industry in that provision has been made for higher and lower power output. Broadcasting licensees thus have the opportunity to apply for a spectrum licence with a lower power output when it serves a smaller community e.g. community broadcasters or a spectrum licence with a higher power output to service multiple communities or a major town e.g. commercial broadcasters.</w:t>
            </w:r>
            <w:r w:rsidR="00EF6C9B" w:rsidRPr="00513BF0">
              <w:rPr>
                <w:rFonts w:cs="Times New Roman"/>
                <w:sz w:val="20"/>
                <w:szCs w:val="20"/>
              </w:rPr>
              <w:t xml:space="preserve"> </w:t>
            </w:r>
          </w:p>
          <w:p w14:paraId="2911A283" w14:textId="77777777" w:rsidR="009C7F3E" w:rsidRPr="00513BF0" w:rsidRDefault="009C7F3E" w:rsidP="00EF6C9B">
            <w:pPr>
              <w:pStyle w:val="TableParagraph"/>
              <w:spacing w:before="27"/>
              <w:ind w:left="79" w:right="69"/>
              <w:jc w:val="both"/>
              <w:rPr>
                <w:rFonts w:cs="Times New Roman"/>
                <w:sz w:val="20"/>
                <w:szCs w:val="20"/>
              </w:rPr>
            </w:pPr>
          </w:p>
          <w:p w14:paraId="4C9BA6BE" w14:textId="759EE8C7" w:rsidR="00B81E88" w:rsidRPr="00513BF0" w:rsidRDefault="00B81E88" w:rsidP="00EF6C9B">
            <w:pPr>
              <w:pStyle w:val="TableParagraph"/>
              <w:spacing w:before="27"/>
              <w:ind w:left="79" w:right="69"/>
              <w:jc w:val="both"/>
              <w:rPr>
                <w:rFonts w:cs="Times New Roman"/>
                <w:sz w:val="20"/>
                <w:szCs w:val="20"/>
              </w:rPr>
            </w:pPr>
            <w:r w:rsidRPr="00513BF0">
              <w:rPr>
                <w:rFonts w:cs="Times New Roman"/>
                <w:sz w:val="20"/>
                <w:szCs w:val="20"/>
              </w:rPr>
              <w:t xml:space="preserve">Furthermore, the introduction of digital sound broadcasting allows for the use of a single  frequency to broadcast up to 12 different channels thereby reducing spectrum licence cost </w:t>
            </w:r>
            <w:r w:rsidRPr="00513BF0">
              <w:rPr>
                <w:rFonts w:cs="Times New Roman"/>
                <w:i/>
                <w:sz w:val="20"/>
                <w:szCs w:val="20"/>
              </w:rPr>
              <w:t xml:space="preserve">versa via </w:t>
            </w:r>
            <w:r w:rsidRPr="00513BF0">
              <w:rPr>
                <w:rFonts w:cs="Times New Roman"/>
                <w:sz w:val="20"/>
                <w:szCs w:val="20"/>
              </w:rPr>
              <w:t>broadcasting one channel per frequency utilising analogue broadcasting technology</w:t>
            </w:r>
          </w:p>
        </w:tc>
      </w:tr>
      <w:tr w:rsidR="00B81E88" w:rsidRPr="00513BF0" w14:paraId="205E85B6" w14:textId="77777777" w:rsidTr="00B865C8">
        <w:trPr>
          <w:trHeight w:val="469"/>
        </w:trPr>
        <w:tc>
          <w:tcPr>
            <w:tcW w:w="8647" w:type="dxa"/>
            <w:gridSpan w:val="2"/>
            <w:shd w:val="clear" w:color="auto" w:fill="BFBFBF" w:themeFill="background1" w:themeFillShade="BF"/>
            <w:vAlign w:val="center"/>
          </w:tcPr>
          <w:p w14:paraId="05B5893C" w14:textId="09B1912C" w:rsidR="00B81E88" w:rsidRPr="00513BF0" w:rsidRDefault="00B81E88" w:rsidP="00EF6C9B">
            <w:pPr>
              <w:pStyle w:val="TableParagraph"/>
              <w:spacing w:before="27"/>
              <w:ind w:left="79" w:right="69"/>
              <w:jc w:val="both"/>
              <w:rPr>
                <w:rFonts w:cs="Times New Roman"/>
                <w:sz w:val="20"/>
                <w:szCs w:val="20"/>
              </w:rPr>
            </w:pPr>
            <w:r w:rsidRPr="00513BF0">
              <w:rPr>
                <w:rFonts w:cs="Times New Roman"/>
                <w:b/>
                <w:sz w:val="20"/>
                <w:szCs w:val="20"/>
              </w:rPr>
              <w:t>Editors’ Forum of Namibia</w:t>
            </w:r>
          </w:p>
        </w:tc>
      </w:tr>
      <w:tr w:rsidR="00B81E88" w:rsidRPr="00513BF0" w14:paraId="6137B83D" w14:textId="77777777" w:rsidTr="00B865C8">
        <w:trPr>
          <w:trHeight w:val="1306"/>
        </w:trPr>
        <w:tc>
          <w:tcPr>
            <w:tcW w:w="4111" w:type="dxa"/>
          </w:tcPr>
          <w:p w14:paraId="77DF8E75" w14:textId="5669224D"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The Editor’s forum of Namibia (EFN) speaking on behalf of its broadcast members, believes that an increase of spectrum and other regulatory fees at this stage would impact negatively on the industry.</w:t>
            </w:r>
            <w:r w:rsidR="00D53EEC" w:rsidRPr="00513BF0">
              <w:rPr>
                <w:rFonts w:cs="Times New Roman"/>
                <w:sz w:val="20"/>
                <w:szCs w:val="20"/>
              </w:rPr>
              <w:t xml:space="preserve"> </w:t>
            </w:r>
          </w:p>
          <w:p w14:paraId="56344D4F" w14:textId="75E1F0CB" w:rsidR="00B81E88" w:rsidRPr="00513BF0" w:rsidRDefault="00B81E88" w:rsidP="0071745C">
            <w:pPr>
              <w:pStyle w:val="TableParagraph"/>
              <w:ind w:left="80"/>
              <w:rPr>
                <w:rFonts w:cs="Times New Roman"/>
                <w:sz w:val="20"/>
                <w:szCs w:val="20"/>
              </w:rPr>
            </w:pPr>
          </w:p>
          <w:p w14:paraId="55513FE8" w14:textId="290D8013"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It is also our view that CRAN has existing regulatory measures at its disposal, in the current legislation,  to enforce efficient use of spectrum and manage hoarding of spectrum.</w:t>
            </w:r>
            <w:r w:rsidR="00D53EEC" w:rsidRPr="00513BF0">
              <w:rPr>
                <w:rFonts w:cs="Times New Roman"/>
                <w:sz w:val="20"/>
                <w:szCs w:val="20"/>
              </w:rPr>
              <w:t xml:space="preserve"> </w:t>
            </w:r>
          </w:p>
          <w:p w14:paraId="603655DC" w14:textId="1413C3F5" w:rsidR="00B81E88" w:rsidRPr="00513BF0" w:rsidRDefault="00B81E88" w:rsidP="0071745C">
            <w:pPr>
              <w:pStyle w:val="TableParagraph"/>
              <w:ind w:left="80"/>
              <w:rPr>
                <w:rFonts w:cs="Times New Roman"/>
                <w:sz w:val="20"/>
                <w:szCs w:val="20"/>
              </w:rPr>
            </w:pPr>
          </w:p>
          <w:p w14:paraId="7612E6DB" w14:textId="4E2F51F9" w:rsidR="00D53EEC" w:rsidRPr="00513BF0" w:rsidRDefault="00B81E88" w:rsidP="00D53EEC">
            <w:pPr>
              <w:pStyle w:val="TableParagraph"/>
              <w:spacing w:before="27"/>
              <w:ind w:left="79" w:right="69"/>
              <w:jc w:val="both"/>
              <w:rPr>
                <w:rFonts w:cs="Times New Roman"/>
                <w:sz w:val="20"/>
                <w:szCs w:val="20"/>
              </w:rPr>
            </w:pPr>
            <w:r>
              <w:rPr>
                <w:sz w:val="20"/>
                <w:szCs w:val="20"/>
              </w:rPr>
              <w:t xml:space="preserve">Any closure of or further capacity </w:t>
            </w:r>
            <w:r w:rsidRPr="00513BF0">
              <w:rPr>
                <w:rFonts w:cs="Times New Roman"/>
                <w:sz w:val="20"/>
                <w:szCs w:val="20"/>
              </w:rPr>
              <w:t>reductions at private radio or televisi</w:t>
            </w:r>
            <w:r>
              <w:rPr>
                <w:sz w:val="20"/>
                <w:szCs w:val="20"/>
              </w:rPr>
              <w:t xml:space="preserve">on stations would not </w:t>
            </w:r>
            <w:r w:rsidRPr="00513BF0">
              <w:rPr>
                <w:rFonts w:cs="Times New Roman"/>
                <w:sz w:val="20"/>
                <w:szCs w:val="20"/>
              </w:rPr>
              <w:t>only work against free expression and the vibrant democracy in our country, but would probably see Namibia lose its number one spot in Africa on the Reporters without Borders indexes, these ratings, among others are based on the plurist media that allowed to flourish in any given country.</w:t>
            </w:r>
            <w:r w:rsidR="00D53EEC" w:rsidRPr="00513BF0">
              <w:rPr>
                <w:rFonts w:cs="Times New Roman"/>
                <w:sz w:val="20"/>
                <w:szCs w:val="20"/>
              </w:rPr>
              <w:t xml:space="preserve"> </w:t>
            </w:r>
          </w:p>
          <w:p w14:paraId="5A3614E6" w14:textId="75F93FD6" w:rsidR="00B81E88" w:rsidRPr="00513BF0" w:rsidRDefault="00B81E88" w:rsidP="0071745C">
            <w:pPr>
              <w:pStyle w:val="TableParagraph"/>
              <w:ind w:left="80"/>
              <w:rPr>
                <w:rFonts w:cs="Times New Roman"/>
                <w:sz w:val="20"/>
                <w:szCs w:val="20"/>
              </w:rPr>
            </w:pPr>
          </w:p>
          <w:p w14:paraId="5EBA1491" w14:textId="23B3EF99"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 xml:space="preserve">We wish to emphasize that since the downturn of the Namibian economy three years ago, the majority of broadcasters have had to significantly reduce their </w:t>
            </w:r>
            <w:r>
              <w:rPr>
                <w:sz w:val="20"/>
                <w:szCs w:val="20"/>
              </w:rPr>
              <w:t>costs and look for innovative ways to</w:t>
            </w:r>
            <w:r w:rsidRPr="00513BF0">
              <w:rPr>
                <w:rFonts w:cs="Times New Roman"/>
                <w:sz w:val="20"/>
                <w:szCs w:val="20"/>
              </w:rPr>
              <w:t xml:space="preserve"> de</w:t>
            </w:r>
            <w:r>
              <w:rPr>
                <w:sz w:val="20"/>
                <w:szCs w:val="20"/>
              </w:rPr>
              <w:t xml:space="preserve">al </w:t>
            </w:r>
            <w:r w:rsidRPr="00513BF0">
              <w:rPr>
                <w:rFonts w:cs="Times New Roman"/>
                <w:sz w:val="20"/>
                <w:szCs w:val="20"/>
              </w:rPr>
              <w:t>with the declining revenues. We can only hope that the regulatory authority will do the same.</w:t>
            </w:r>
            <w:r w:rsidR="00D53EEC" w:rsidRPr="00513BF0">
              <w:rPr>
                <w:rFonts w:cs="Times New Roman"/>
                <w:sz w:val="20"/>
                <w:szCs w:val="20"/>
              </w:rPr>
              <w:t xml:space="preserve"> </w:t>
            </w:r>
          </w:p>
          <w:p w14:paraId="6DD628F6" w14:textId="77777777" w:rsidR="00D53EEC" w:rsidRPr="00513BF0" w:rsidRDefault="00D53EEC" w:rsidP="00D53EEC">
            <w:pPr>
              <w:pStyle w:val="TableParagraph"/>
              <w:spacing w:before="27"/>
              <w:ind w:left="79" w:right="69"/>
              <w:jc w:val="both"/>
              <w:rPr>
                <w:rFonts w:cs="Times New Roman"/>
                <w:sz w:val="20"/>
                <w:szCs w:val="20"/>
              </w:rPr>
            </w:pPr>
          </w:p>
          <w:p w14:paraId="4CD82ECA" w14:textId="2F8361A0" w:rsidR="00B81E88"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Based on the above, we kindly request CRAN to shelve the proposed increase in spectrum fees and replace this with amendments that are cognizant of the economic realities of the broadcasting industry that CRAN is mandated to uphold.</w:t>
            </w:r>
            <w:r w:rsidR="00D53EEC" w:rsidRPr="00513BF0">
              <w:rPr>
                <w:rFonts w:cs="Times New Roman"/>
                <w:sz w:val="20"/>
                <w:szCs w:val="20"/>
              </w:rPr>
              <w:t xml:space="preserve"> </w:t>
            </w:r>
          </w:p>
        </w:tc>
        <w:tc>
          <w:tcPr>
            <w:tcW w:w="4536" w:type="dxa"/>
          </w:tcPr>
          <w:p w14:paraId="4FA89854" w14:textId="11E8C189"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The spectrum fees published in 2017 was based on CPI up to 2015. The Authority has not implemented annual increases, but kept the spectrum fees at the same level for 4 years. The proposed fees will only come into effect 1 January 2021.</w:t>
            </w:r>
            <w:r w:rsidR="00D53EEC" w:rsidRPr="00513BF0">
              <w:rPr>
                <w:rFonts w:cs="Times New Roman"/>
                <w:sz w:val="20"/>
                <w:szCs w:val="20"/>
              </w:rPr>
              <w:t xml:space="preserve"> </w:t>
            </w:r>
          </w:p>
          <w:p w14:paraId="1E35063D" w14:textId="77777777" w:rsidR="00D53EEC" w:rsidRPr="00513BF0" w:rsidRDefault="00D53EEC" w:rsidP="00D53EEC">
            <w:pPr>
              <w:pStyle w:val="TableParagraph"/>
              <w:spacing w:before="27"/>
              <w:ind w:left="79" w:right="69"/>
              <w:jc w:val="both"/>
              <w:rPr>
                <w:rFonts w:cs="Times New Roman"/>
                <w:sz w:val="20"/>
                <w:szCs w:val="20"/>
              </w:rPr>
            </w:pPr>
          </w:p>
          <w:p w14:paraId="12336A08" w14:textId="59776349"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Administrative fees has been set in accordance with the CPIs of 2016,2017, 2018 and 2019 as well as the total cost of spectrum management. The fees have however been capped at 12% taking into account the oral and written submissions from stakeholders.</w:t>
            </w:r>
            <w:r w:rsidR="00D53EEC" w:rsidRPr="00513BF0">
              <w:rPr>
                <w:rFonts w:cs="Times New Roman"/>
                <w:sz w:val="20"/>
                <w:szCs w:val="20"/>
              </w:rPr>
              <w:t xml:space="preserve"> </w:t>
            </w:r>
          </w:p>
          <w:p w14:paraId="0345BFC6" w14:textId="77777777" w:rsidR="00D53EEC" w:rsidRPr="00513BF0" w:rsidRDefault="00D53EEC" w:rsidP="00D53EEC">
            <w:pPr>
              <w:pStyle w:val="TableParagraph"/>
              <w:spacing w:before="27"/>
              <w:ind w:left="79" w:right="69"/>
              <w:jc w:val="both"/>
              <w:rPr>
                <w:rFonts w:cs="Times New Roman"/>
                <w:sz w:val="20"/>
                <w:szCs w:val="20"/>
              </w:rPr>
            </w:pPr>
          </w:p>
          <w:p w14:paraId="1F046806" w14:textId="07176A20"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In addition, the Authority is introducing spectrum fees for digital sound broadcasting in alignment with the publication of the frequency channelling plan for digital sound broadcasting.</w:t>
            </w:r>
            <w:r w:rsidR="00D53EEC" w:rsidRPr="00513BF0">
              <w:rPr>
                <w:rFonts w:cs="Times New Roman"/>
                <w:sz w:val="20"/>
                <w:szCs w:val="20"/>
              </w:rPr>
              <w:t xml:space="preserve"> </w:t>
            </w:r>
          </w:p>
          <w:p w14:paraId="24C783C2" w14:textId="77777777" w:rsidR="00D53EEC" w:rsidRPr="00513BF0" w:rsidRDefault="00D53EEC" w:rsidP="00D53EEC">
            <w:pPr>
              <w:pStyle w:val="TableParagraph"/>
              <w:spacing w:before="27"/>
              <w:ind w:left="79" w:right="69"/>
              <w:jc w:val="both"/>
              <w:rPr>
                <w:rFonts w:cs="Times New Roman"/>
                <w:sz w:val="20"/>
                <w:szCs w:val="20"/>
              </w:rPr>
            </w:pPr>
          </w:p>
          <w:p w14:paraId="0F523E96" w14:textId="151CC80C" w:rsidR="00B81E88"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Not only will digit</w:t>
            </w:r>
            <w:r>
              <w:rPr>
                <w:sz w:val="20"/>
                <w:szCs w:val="20"/>
              </w:rPr>
              <w:t>al sound</w:t>
            </w:r>
            <w:r w:rsidRPr="00513BF0">
              <w:rPr>
                <w:rFonts w:cs="Times New Roman"/>
                <w:sz w:val="20"/>
                <w:szCs w:val="20"/>
              </w:rPr>
              <w:t xml:space="preserve"> </w:t>
            </w:r>
            <w:r>
              <w:rPr>
                <w:sz w:val="20"/>
                <w:szCs w:val="20"/>
              </w:rPr>
              <w:t xml:space="preserve">broadcasting </w:t>
            </w:r>
            <w:r w:rsidRPr="00513BF0">
              <w:rPr>
                <w:rFonts w:cs="Times New Roman"/>
                <w:sz w:val="20"/>
                <w:szCs w:val="20"/>
              </w:rPr>
              <w:t xml:space="preserve">provide for </w:t>
            </w:r>
            <w:r>
              <w:rPr>
                <w:sz w:val="20"/>
                <w:szCs w:val="20"/>
              </w:rPr>
              <w:t xml:space="preserve">more efficient use of spectrum but also </w:t>
            </w:r>
            <w:r w:rsidRPr="00513BF0">
              <w:rPr>
                <w:rFonts w:cs="Times New Roman"/>
                <w:sz w:val="20"/>
                <w:szCs w:val="20"/>
              </w:rPr>
              <w:t xml:space="preserve">give the broadcasting industry the opportunity to share spectrum resources and adopt more innovative business models for digital radio </w:t>
            </w:r>
            <w:r w:rsidRPr="00513BF0">
              <w:rPr>
                <w:rFonts w:cs="Times New Roman"/>
                <w:i/>
                <w:sz w:val="20"/>
                <w:szCs w:val="20"/>
              </w:rPr>
              <w:t xml:space="preserve">in lieu </w:t>
            </w:r>
            <w:r w:rsidRPr="00513BF0">
              <w:rPr>
                <w:rFonts w:cs="Times New Roman"/>
                <w:sz w:val="20"/>
                <w:szCs w:val="20"/>
              </w:rPr>
              <w:t>of legacy analogue broadcasting.</w:t>
            </w:r>
            <w:r w:rsidR="00D53EEC" w:rsidRPr="00513BF0">
              <w:rPr>
                <w:rFonts w:cs="Times New Roman"/>
                <w:sz w:val="20"/>
                <w:szCs w:val="20"/>
              </w:rPr>
              <w:t xml:space="preserve"> </w:t>
            </w:r>
          </w:p>
        </w:tc>
      </w:tr>
      <w:tr w:rsidR="00B81E88" w:rsidRPr="00513BF0" w14:paraId="7624865B" w14:textId="77777777" w:rsidTr="00B865C8">
        <w:trPr>
          <w:trHeight w:val="424"/>
        </w:trPr>
        <w:tc>
          <w:tcPr>
            <w:tcW w:w="8647" w:type="dxa"/>
            <w:gridSpan w:val="2"/>
            <w:shd w:val="clear" w:color="auto" w:fill="BFBFBF" w:themeFill="background1" w:themeFillShade="BF"/>
            <w:vAlign w:val="center"/>
          </w:tcPr>
          <w:p w14:paraId="31A3DB65" w14:textId="660FD7B2" w:rsidR="00B81E88" w:rsidRPr="00513BF0" w:rsidRDefault="00B81E88" w:rsidP="00D53EEC">
            <w:pPr>
              <w:pStyle w:val="TableParagraph"/>
              <w:spacing w:before="27"/>
              <w:ind w:left="79" w:right="69"/>
              <w:jc w:val="both"/>
              <w:rPr>
                <w:rFonts w:cs="Times New Roman"/>
                <w:sz w:val="20"/>
                <w:szCs w:val="20"/>
              </w:rPr>
            </w:pPr>
            <w:r w:rsidRPr="00513BF0">
              <w:rPr>
                <w:rFonts w:cs="Times New Roman"/>
                <w:b/>
                <w:sz w:val="20"/>
                <w:szCs w:val="20"/>
              </w:rPr>
              <w:t>Namibian Broadcasting Corporation</w:t>
            </w:r>
          </w:p>
        </w:tc>
      </w:tr>
      <w:tr w:rsidR="00B81E88" w:rsidRPr="00513BF0" w14:paraId="71CC1624" w14:textId="77777777" w:rsidTr="00B865C8">
        <w:trPr>
          <w:trHeight w:val="1306"/>
        </w:trPr>
        <w:tc>
          <w:tcPr>
            <w:tcW w:w="4111" w:type="dxa"/>
          </w:tcPr>
          <w:p w14:paraId="4ECCAC28" w14:textId="1CF558DE"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The proposed fees for the spectrum licences, certificates and examinations falls outside the current CPI which stands at 2.1 percent for the month of May 2020.</w:t>
            </w:r>
            <w:r w:rsidR="00D53EEC" w:rsidRPr="00513BF0">
              <w:rPr>
                <w:rFonts w:cs="Times New Roman"/>
                <w:sz w:val="20"/>
                <w:szCs w:val="20"/>
              </w:rPr>
              <w:t xml:space="preserve"> </w:t>
            </w:r>
          </w:p>
          <w:p w14:paraId="1D06F847" w14:textId="77777777" w:rsidR="00B81E88" w:rsidRPr="00513BF0" w:rsidRDefault="00B81E88" w:rsidP="0071745C">
            <w:pPr>
              <w:pStyle w:val="TableParagraph"/>
              <w:ind w:left="80"/>
              <w:rPr>
                <w:rFonts w:cs="Times New Roman"/>
                <w:sz w:val="20"/>
                <w:szCs w:val="20"/>
              </w:rPr>
            </w:pPr>
          </w:p>
          <w:p w14:paraId="2F6F7736" w14:textId="779C7DC7" w:rsidR="00B81E88"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Currently the corporation is paying an annual amount of N$1,439,805, with the current proposed fee adjustment, the corporation will be paying an annual amount of N$1,669,786, which is 16 percent more compared to the previous fees.</w:t>
            </w:r>
            <w:r w:rsidR="00D53EEC" w:rsidRPr="00513BF0">
              <w:rPr>
                <w:rFonts w:cs="Times New Roman"/>
                <w:sz w:val="20"/>
                <w:szCs w:val="20"/>
              </w:rPr>
              <w:t xml:space="preserve"> </w:t>
            </w:r>
          </w:p>
        </w:tc>
        <w:tc>
          <w:tcPr>
            <w:tcW w:w="4536" w:type="dxa"/>
          </w:tcPr>
          <w:p w14:paraId="68433C21" w14:textId="77777777" w:rsidR="00D53EEC"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The spectrum fees published in 2017 was based on CPI up to 2015. The Authority has not implemented annual increases, but kept the spectrum fees at the same level for 4 years. The proposed spectrum fees will only come into effect 1 January 2021. The increase has now been capped at 12%.</w:t>
            </w:r>
          </w:p>
          <w:p w14:paraId="16297F8E" w14:textId="77777777" w:rsidR="00D53EEC" w:rsidRPr="00513BF0" w:rsidRDefault="00D53EEC" w:rsidP="00D53EEC">
            <w:pPr>
              <w:pStyle w:val="TableParagraph"/>
              <w:spacing w:before="27"/>
              <w:ind w:left="79" w:right="69"/>
              <w:jc w:val="both"/>
              <w:rPr>
                <w:rFonts w:cs="Times New Roman"/>
                <w:sz w:val="20"/>
                <w:szCs w:val="20"/>
              </w:rPr>
            </w:pPr>
          </w:p>
          <w:p w14:paraId="21C08571" w14:textId="4DBB7799" w:rsidR="00B81E88" w:rsidRPr="00513BF0" w:rsidRDefault="00B81E88" w:rsidP="00D53EEC">
            <w:pPr>
              <w:pStyle w:val="TableParagraph"/>
              <w:spacing w:before="27"/>
              <w:ind w:left="79" w:right="69"/>
              <w:jc w:val="both"/>
              <w:rPr>
                <w:rFonts w:cs="Times New Roman"/>
                <w:sz w:val="20"/>
                <w:szCs w:val="20"/>
              </w:rPr>
            </w:pPr>
            <w:r w:rsidRPr="00513BF0">
              <w:rPr>
                <w:rFonts w:cs="Times New Roman"/>
                <w:sz w:val="20"/>
                <w:szCs w:val="20"/>
              </w:rPr>
              <w:t>The spectrum fees have also  taken  into  account  the tendency to hoard spectrum and inefficient utilization of spectrum by licensees, and thus set fees to discourage this practice and encourage licensees to only hold the amount of spectrum necessary to provide their services, while at the same time also allowing the regulator to defray the cost of spectrum management</w:t>
            </w:r>
          </w:p>
        </w:tc>
      </w:tr>
      <w:tr w:rsidR="00B81E88" w:rsidRPr="00513BF0" w14:paraId="198D865C" w14:textId="77777777" w:rsidTr="00B865C8">
        <w:trPr>
          <w:trHeight w:val="442"/>
        </w:trPr>
        <w:tc>
          <w:tcPr>
            <w:tcW w:w="8647" w:type="dxa"/>
            <w:gridSpan w:val="2"/>
            <w:shd w:val="clear" w:color="auto" w:fill="BFBFBF" w:themeFill="background1" w:themeFillShade="BF"/>
            <w:vAlign w:val="center"/>
          </w:tcPr>
          <w:p w14:paraId="3D7A57F7" w14:textId="77777777" w:rsidR="00B81E88" w:rsidRPr="00513BF0" w:rsidRDefault="00B81E88" w:rsidP="0071745C">
            <w:pPr>
              <w:pStyle w:val="TableParagraph"/>
              <w:spacing w:before="27"/>
              <w:ind w:right="69"/>
              <w:rPr>
                <w:rFonts w:cs="Times New Roman"/>
                <w:sz w:val="20"/>
                <w:szCs w:val="20"/>
              </w:rPr>
            </w:pPr>
            <w:r w:rsidRPr="00513BF0">
              <w:rPr>
                <w:rFonts w:cs="Times New Roman"/>
                <w:b/>
                <w:sz w:val="20"/>
                <w:szCs w:val="20"/>
              </w:rPr>
              <w:t>Mobile Telecommunications Limited</w:t>
            </w:r>
          </w:p>
        </w:tc>
      </w:tr>
      <w:tr w:rsidR="00B81E88" w:rsidRPr="00513BF0" w14:paraId="153308DC" w14:textId="77777777" w:rsidTr="00B865C8">
        <w:trPr>
          <w:trHeight w:val="620"/>
        </w:trPr>
        <w:tc>
          <w:tcPr>
            <w:tcW w:w="4111" w:type="dxa"/>
          </w:tcPr>
          <w:p w14:paraId="364F0D7F" w14:textId="77777777" w:rsidR="00D53EEC" w:rsidRPr="00513BF0" w:rsidRDefault="00B81E88" w:rsidP="00D53EEC">
            <w:pPr>
              <w:pStyle w:val="TableParagraph"/>
              <w:ind w:left="80"/>
              <w:rPr>
                <w:rFonts w:cs="Times New Roman"/>
                <w:sz w:val="20"/>
                <w:szCs w:val="20"/>
              </w:rPr>
            </w:pPr>
            <w:r w:rsidRPr="00513BF0">
              <w:rPr>
                <w:rFonts w:cs="Times New Roman"/>
                <w:b/>
                <w:sz w:val="20"/>
                <w:szCs w:val="20"/>
                <w:u w:val="single"/>
              </w:rPr>
              <w:t>Ad Regulation 2 – Objects and application of</w:t>
            </w:r>
            <w:r w:rsidRPr="00513BF0">
              <w:rPr>
                <w:rFonts w:cs="Times New Roman"/>
                <w:b/>
                <w:sz w:val="20"/>
                <w:szCs w:val="20"/>
              </w:rPr>
              <w:t xml:space="preserve"> </w:t>
            </w:r>
            <w:r w:rsidRPr="00513BF0">
              <w:rPr>
                <w:rFonts w:cs="Times New Roman"/>
                <w:b/>
                <w:sz w:val="20"/>
                <w:szCs w:val="20"/>
                <w:u w:val="single"/>
              </w:rPr>
              <w:t>Regulations</w:t>
            </w:r>
          </w:p>
          <w:p w14:paraId="69761D63" w14:textId="4037C360" w:rsidR="00B81E88" w:rsidRPr="00513BF0" w:rsidRDefault="00B81E88" w:rsidP="0071745C">
            <w:pPr>
              <w:pStyle w:val="TableParagraph"/>
              <w:ind w:left="80"/>
              <w:rPr>
                <w:rFonts w:cs="Times New Roman"/>
                <w:sz w:val="20"/>
                <w:szCs w:val="20"/>
              </w:rPr>
            </w:pPr>
          </w:p>
          <w:p w14:paraId="73524BC2" w14:textId="57EC5560" w:rsidR="00B81E88" w:rsidRPr="00513BF0" w:rsidRDefault="00B81E88" w:rsidP="009C7F3E">
            <w:pPr>
              <w:pStyle w:val="TableParagraph"/>
              <w:ind w:left="80"/>
              <w:jc w:val="both"/>
              <w:rPr>
                <w:rFonts w:cs="Times New Roman"/>
                <w:sz w:val="20"/>
                <w:szCs w:val="20"/>
              </w:rPr>
            </w:pPr>
            <w:r w:rsidRPr="00513BF0">
              <w:rPr>
                <w:rFonts w:cs="Times New Roman"/>
                <w:sz w:val="20"/>
                <w:szCs w:val="20"/>
              </w:rPr>
              <w:t>Although these objects read fairly, it is advisable to add “achieving economic and social development goals and spectrum users paying for actual spectrum resource usage” to the list of objects. Radio Frequency Spectrum serves and end result and it is important that the fees charged for spectrum also speak to the purpose for which the licensee would need spectrum</w:t>
            </w:r>
          </w:p>
        </w:tc>
        <w:tc>
          <w:tcPr>
            <w:tcW w:w="4536" w:type="dxa"/>
          </w:tcPr>
          <w:p w14:paraId="1C0E4966" w14:textId="6B2288F2" w:rsidR="00D53EEC" w:rsidRPr="00513BF0" w:rsidRDefault="00B81E88" w:rsidP="009C7F3E">
            <w:pPr>
              <w:pStyle w:val="TableParagraph"/>
              <w:ind w:left="80"/>
              <w:jc w:val="both"/>
              <w:rPr>
                <w:rFonts w:cs="Times New Roman"/>
                <w:sz w:val="20"/>
                <w:szCs w:val="20"/>
              </w:rPr>
            </w:pPr>
            <w:r w:rsidRPr="00513BF0">
              <w:rPr>
                <w:rFonts w:cs="Times New Roman"/>
                <w:sz w:val="20"/>
                <w:szCs w:val="20"/>
              </w:rPr>
              <w:t>The Authority is of the opinion that the objects as stated already provides for efficient utilisation to ensure that licensees only utilise the minimum spectrum necessary to provide services and not hoard or use spectrum inefficiently to serve as a barrier to entry for other licensees.</w:t>
            </w:r>
            <w:r w:rsidR="00D53EEC" w:rsidRPr="00513BF0">
              <w:rPr>
                <w:rFonts w:cs="Times New Roman"/>
                <w:sz w:val="20"/>
                <w:szCs w:val="20"/>
              </w:rPr>
              <w:t xml:space="preserve"> </w:t>
            </w:r>
          </w:p>
          <w:p w14:paraId="512FC384" w14:textId="77777777" w:rsidR="00D53EEC" w:rsidRPr="00513BF0" w:rsidRDefault="00D53EEC" w:rsidP="00D53EEC">
            <w:pPr>
              <w:pStyle w:val="TableParagraph"/>
              <w:ind w:left="80"/>
              <w:rPr>
                <w:rFonts w:cs="Times New Roman"/>
                <w:sz w:val="20"/>
                <w:szCs w:val="20"/>
              </w:rPr>
            </w:pPr>
          </w:p>
          <w:p w14:paraId="0472E0E7" w14:textId="77777777" w:rsidR="006652A6" w:rsidRPr="00513BF0" w:rsidRDefault="006652A6" w:rsidP="006652A6">
            <w:pPr>
              <w:pStyle w:val="TableParagraph"/>
              <w:ind w:left="80"/>
              <w:rPr>
                <w:rFonts w:cs="Times New Roman"/>
                <w:sz w:val="20"/>
                <w:szCs w:val="20"/>
              </w:rPr>
            </w:pPr>
          </w:p>
          <w:p w14:paraId="6AF82537" w14:textId="4CB8B10E" w:rsidR="006652A6" w:rsidRPr="00513BF0" w:rsidRDefault="00B81E88" w:rsidP="009C7F3E">
            <w:pPr>
              <w:pStyle w:val="TableParagraph"/>
              <w:ind w:left="80"/>
              <w:jc w:val="both"/>
              <w:rPr>
                <w:rFonts w:cs="Times New Roman"/>
                <w:sz w:val="20"/>
                <w:szCs w:val="20"/>
              </w:rPr>
            </w:pPr>
            <w:r w:rsidRPr="00513BF0">
              <w:rPr>
                <w:rFonts w:cs="Times New Roman"/>
                <w:sz w:val="20"/>
                <w:szCs w:val="20"/>
              </w:rPr>
              <w:t>The formulae based fees ensures that the fees charged speaks to the purpose for which the licensee will need the spectrum e.g. fixed spectrum for fixed services will be charged as per Table 2 and mobile spectrum for mobile services will be charged as per table 3.</w:t>
            </w:r>
            <w:r w:rsidR="006652A6" w:rsidRPr="00513BF0">
              <w:rPr>
                <w:rFonts w:cs="Times New Roman"/>
                <w:sz w:val="20"/>
                <w:szCs w:val="20"/>
              </w:rPr>
              <w:t xml:space="preserve"> </w:t>
            </w:r>
          </w:p>
          <w:p w14:paraId="0374CA14" w14:textId="77777777" w:rsidR="006652A6" w:rsidRPr="00513BF0" w:rsidRDefault="006652A6" w:rsidP="009C7F3E">
            <w:pPr>
              <w:pStyle w:val="TableParagraph"/>
              <w:ind w:left="80"/>
              <w:jc w:val="both"/>
              <w:rPr>
                <w:rFonts w:cs="Times New Roman"/>
                <w:sz w:val="20"/>
                <w:szCs w:val="20"/>
              </w:rPr>
            </w:pPr>
          </w:p>
          <w:p w14:paraId="7906AB58" w14:textId="0FE85611" w:rsidR="006652A6" w:rsidRPr="00513BF0" w:rsidRDefault="00B81E88" w:rsidP="009C7F3E">
            <w:pPr>
              <w:pStyle w:val="TableParagraph"/>
              <w:ind w:left="80"/>
              <w:jc w:val="both"/>
              <w:rPr>
                <w:rFonts w:cs="Times New Roman"/>
                <w:sz w:val="20"/>
                <w:szCs w:val="20"/>
              </w:rPr>
            </w:pPr>
            <w:r w:rsidRPr="00513BF0">
              <w:rPr>
                <w:rFonts w:cs="Times New Roman"/>
                <w:sz w:val="20"/>
                <w:szCs w:val="20"/>
              </w:rPr>
              <w:t>Rollout obligations to achieve targets set for economic and social development forms part of spectrum license conditions as is thus not part of the spectrum fee regulations.</w:t>
            </w:r>
            <w:r w:rsidR="006652A6" w:rsidRPr="00513BF0">
              <w:rPr>
                <w:rFonts w:cs="Times New Roman"/>
                <w:sz w:val="20"/>
                <w:szCs w:val="20"/>
              </w:rPr>
              <w:t xml:space="preserve"> </w:t>
            </w:r>
          </w:p>
          <w:p w14:paraId="73D1110D" w14:textId="77777777" w:rsidR="006652A6" w:rsidRPr="00513BF0" w:rsidRDefault="006652A6" w:rsidP="009C7F3E">
            <w:pPr>
              <w:pStyle w:val="TableParagraph"/>
              <w:ind w:left="80"/>
              <w:jc w:val="both"/>
              <w:rPr>
                <w:rFonts w:cs="Times New Roman"/>
                <w:sz w:val="20"/>
                <w:szCs w:val="20"/>
              </w:rPr>
            </w:pPr>
          </w:p>
          <w:p w14:paraId="0B1A90D6" w14:textId="21C15369" w:rsidR="00B81E88" w:rsidRPr="00513BF0" w:rsidRDefault="00B81E88" w:rsidP="009C7F3E">
            <w:pPr>
              <w:pStyle w:val="TableParagraph"/>
              <w:ind w:left="80"/>
              <w:jc w:val="both"/>
              <w:rPr>
                <w:rFonts w:cs="Times New Roman"/>
                <w:sz w:val="20"/>
                <w:szCs w:val="20"/>
              </w:rPr>
            </w:pPr>
            <w:r w:rsidRPr="00513BF0">
              <w:rPr>
                <w:rFonts w:cs="Times New Roman"/>
                <w:sz w:val="20"/>
                <w:szCs w:val="20"/>
              </w:rPr>
              <w:t>The Authority thus does not accept the proposed change to regulation 2.</w:t>
            </w:r>
            <w:r w:rsidR="006652A6" w:rsidRPr="00513BF0">
              <w:rPr>
                <w:rFonts w:cs="Times New Roman"/>
                <w:sz w:val="20"/>
                <w:szCs w:val="20"/>
              </w:rPr>
              <w:t xml:space="preserve"> </w:t>
            </w:r>
          </w:p>
        </w:tc>
      </w:tr>
      <w:tr w:rsidR="00B81E88" w:rsidRPr="00513BF0" w14:paraId="7B629A48" w14:textId="77777777" w:rsidTr="00B865C8">
        <w:trPr>
          <w:trHeight w:val="1306"/>
        </w:trPr>
        <w:tc>
          <w:tcPr>
            <w:tcW w:w="4111" w:type="dxa"/>
          </w:tcPr>
          <w:p w14:paraId="37129458" w14:textId="77777777" w:rsidR="00D53EEC" w:rsidRPr="00513BF0" w:rsidRDefault="00B81E88" w:rsidP="00D53EEC">
            <w:pPr>
              <w:pStyle w:val="TableParagraph"/>
              <w:ind w:left="80"/>
              <w:rPr>
                <w:rFonts w:cs="Times New Roman"/>
                <w:sz w:val="20"/>
                <w:szCs w:val="20"/>
              </w:rPr>
            </w:pPr>
            <w:r w:rsidRPr="00513BF0">
              <w:rPr>
                <w:rFonts w:cs="Times New Roman"/>
                <w:b/>
                <w:sz w:val="20"/>
                <w:szCs w:val="20"/>
                <w:u w:val="single"/>
              </w:rPr>
              <w:t>Ad Regulation 3 – General Provisions</w:t>
            </w:r>
          </w:p>
          <w:p w14:paraId="0B004DE3" w14:textId="30B1FBB8" w:rsidR="00B81E88" w:rsidRPr="00513BF0" w:rsidRDefault="00B81E88" w:rsidP="0071745C">
            <w:pPr>
              <w:pStyle w:val="TableParagraph"/>
              <w:ind w:left="80"/>
              <w:rPr>
                <w:rFonts w:cs="Times New Roman"/>
                <w:sz w:val="20"/>
                <w:szCs w:val="20"/>
              </w:rPr>
            </w:pPr>
          </w:p>
          <w:p w14:paraId="25B8B43D" w14:textId="0C060113" w:rsidR="00B81E88" w:rsidRPr="00513BF0" w:rsidRDefault="00B81E88" w:rsidP="00A012CE">
            <w:pPr>
              <w:pStyle w:val="TableParagraph"/>
              <w:ind w:left="80"/>
              <w:jc w:val="both"/>
              <w:rPr>
                <w:rFonts w:cs="Times New Roman"/>
                <w:sz w:val="20"/>
                <w:szCs w:val="20"/>
              </w:rPr>
            </w:pPr>
            <w:r w:rsidRPr="00513BF0">
              <w:rPr>
                <w:rFonts w:cs="Times New Roman"/>
                <w:sz w:val="20"/>
                <w:szCs w:val="20"/>
              </w:rPr>
              <w:t>These provisions are in line with the Regulations Prescribing Procedures regarding Application for, Amendment, Renewal, Transfer and Cancellation of Spectrum Licenses, safe for a typo at Regulation 3(b) which incorrectly references regulation 13(1)(a). It should read regulation 13(1) instead.</w:t>
            </w:r>
            <w:r w:rsidR="00D53EEC" w:rsidRPr="00513BF0">
              <w:rPr>
                <w:rFonts w:cs="Times New Roman"/>
                <w:sz w:val="20"/>
                <w:szCs w:val="20"/>
              </w:rPr>
              <w:t xml:space="preserve"> </w:t>
            </w:r>
          </w:p>
        </w:tc>
        <w:tc>
          <w:tcPr>
            <w:tcW w:w="4536" w:type="dxa"/>
          </w:tcPr>
          <w:p w14:paraId="39E75988" w14:textId="1BF214DB" w:rsidR="00B81E88" w:rsidRPr="00513BF0" w:rsidRDefault="00B81E88" w:rsidP="006652A6">
            <w:pPr>
              <w:pStyle w:val="TableParagraph"/>
              <w:ind w:left="80"/>
              <w:rPr>
                <w:rFonts w:cs="Times New Roman"/>
                <w:sz w:val="20"/>
                <w:szCs w:val="20"/>
              </w:rPr>
            </w:pPr>
            <w:r w:rsidRPr="00513BF0">
              <w:rPr>
                <w:rFonts w:cs="Times New Roman"/>
                <w:sz w:val="20"/>
                <w:szCs w:val="20"/>
              </w:rPr>
              <w:t>The Authority takes note of the comments submitted and the error has been corrected accordingly.</w:t>
            </w:r>
            <w:r w:rsidR="006652A6" w:rsidRPr="00513BF0">
              <w:rPr>
                <w:rFonts w:cs="Times New Roman"/>
                <w:sz w:val="20"/>
                <w:szCs w:val="20"/>
              </w:rPr>
              <w:t xml:space="preserve"> </w:t>
            </w:r>
          </w:p>
        </w:tc>
      </w:tr>
      <w:tr w:rsidR="00B81E88" w:rsidRPr="00513BF0" w14:paraId="04CEF404" w14:textId="77777777" w:rsidTr="00B865C8">
        <w:trPr>
          <w:trHeight w:val="1306"/>
        </w:trPr>
        <w:tc>
          <w:tcPr>
            <w:tcW w:w="4111" w:type="dxa"/>
          </w:tcPr>
          <w:p w14:paraId="11668FAE" w14:textId="77777777" w:rsidR="00D53EEC" w:rsidRPr="00513BF0" w:rsidRDefault="00B81E88" w:rsidP="00D53EEC">
            <w:pPr>
              <w:pStyle w:val="TableParagraph"/>
              <w:ind w:left="80"/>
              <w:rPr>
                <w:rFonts w:cs="Times New Roman"/>
                <w:sz w:val="20"/>
                <w:szCs w:val="20"/>
              </w:rPr>
            </w:pPr>
            <w:r w:rsidRPr="00513BF0">
              <w:rPr>
                <w:rFonts w:cs="Times New Roman"/>
                <w:b/>
                <w:sz w:val="20"/>
                <w:szCs w:val="20"/>
                <w:u w:val="single"/>
              </w:rPr>
              <w:t>Ad Regulation 4 – Flat fees relating to Spectrum</w:t>
            </w:r>
            <w:r w:rsidRPr="00513BF0">
              <w:rPr>
                <w:rFonts w:cs="Times New Roman"/>
                <w:b/>
                <w:sz w:val="20"/>
                <w:szCs w:val="20"/>
              </w:rPr>
              <w:t xml:space="preserve"> </w:t>
            </w:r>
            <w:r w:rsidRPr="00513BF0">
              <w:rPr>
                <w:rFonts w:cs="Times New Roman"/>
                <w:b/>
                <w:sz w:val="20"/>
                <w:szCs w:val="20"/>
                <w:u w:val="single"/>
              </w:rPr>
              <w:t>Licences, Certificates or Examinations</w:t>
            </w:r>
          </w:p>
          <w:p w14:paraId="0D92BEB1" w14:textId="023A4B47" w:rsidR="00B81E88" w:rsidRPr="00513BF0" w:rsidRDefault="00B81E88" w:rsidP="0071745C">
            <w:pPr>
              <w:pStyle w:val="TableParagraph"/>
              <w:ind w:left="80"/>
              <w:rPr>
                <w:rFonts w:cs="Times New Roman"/>
                <w:sz w:val="20"/>
                <w:szCs w:val="20"/>
              </w:rPr>
            </w:pPr>
          </w:p>
          <w:p w14:paraId="5CFBB406" w14:textId="28B77430" w:rsidR="00D53EEC" w:rsidRPr="00513BF0" w:rsidRDefault="00B81E88" w:rsidP="0037414F">
            <w:pPr>
              <w:pStyle w:val="TableParagraph"/>
              <w:ind w:left="80"/>
              <w:jc w:val="both"/>
              <w:rPr>
                <w:rFonts w:cs="Times New Roman"/>
                <w:sz w:val="20"/>
                <w:szCs w:val="20"/>
              </w:rPr>
            </w:pPr>
            <w:r w:rsidRPr="00513BF0">
              <w:rPr>
                <w:rFonts w:cs="Times New Roman"/>
                <w:sz w:val="20"/>
                <w:szCs w:val="20"/>
              </w:rPr>
              <w:t>Apart from the fact that ITU standards allow for formulae based fee calculations, the Authority must point out the short comings of sticking to the current spectrum fee method and substantiate the need to introduce a formulae based method, which introduction will increase the current fees quite considerably as will be detailed hereinafter by show of current spectrum fees vs proposed formula-based calculations</w:t>
            </w:r>
          </w:p>
          <w:p w14:paraId="63C2AC23" w14:textId="77777777" w:rsidR="00D53EEC" w:rsidRPr="00513BF0" w:rsidRDefault="00D53EEC" w:rsidP="00D53EEC">
            <w:pPr>
              <w:pStyle w:val="TableParagraph"/>
              <w:ind w:left="80"/>
              <w:rPr>
                <w:rFonts w:cs="Times New Roman"/>
                <w:sz w:val="20"/>
                <w:szCs w:val="20"/>
              </w:rPr>
            </w:pPr>
          </w:p>
          <w:p w14:paraId="68E2C8CA" w14:textId="668A7584" w:rsidR="00B81E88" w:rsidRPr="00513BF0" w:rsidRDefault="00B81E88" w:rsidP="00D53EEC">
            <w:pPr>
              <w:pStyle w:val="TableParagraph"/>
              <w:ind w:left="80"/>
              <w:rPr>
                <w:rFonts w:cs="Times New Roman"/>
                <w:sz w:val="20"/>
                <w:szCs w:val="20"/>
              </w:rPr>
            </w:pPr>
            <w:r w:rsidRPr="00513BF0">
              <w:rPr>
                <w:rFonts w:cs="Times New Roman"/>
                <w:sz w:val="20"/>
                <w:szCs w:val="20"/>
              </w:rPr>
              <w:t>There is no indication that the formula-based method is the singular way to reach the stated objectives.</w:t>
            </w:r>
            <w:r w:rsidR="00D53EEC" w:rsidRPr="00513BF0">
              <w:rPr>
                <w:rFonts w:cs="Times New Roman"/>
                <w:sz w:val="20"/>
                <w:szCs w:val="20"/>
              </w:rPr>
              <w:t xml:space="preserve"> </w:t>
            </w:r>
          </w:p>
        </w:tc>
        <w:tc>
          <w:tcPr>
            <w:tcW w:w="4536" w:type="dxa"/>
          </w:tcPr>
          <w:p w14:paraId="26DFE04F" w14:textId="77777777" w:rsidR="006652A6" w:rsidRPr="00513BF0" w:rsidRDefault="00B81E88" w:rsidP="006652A6">
            <w:pPr>
              <w:pStyle w:val="TableParagraph"/>
              <w:ind w:left="80"/>
              <w:rPr>
                <w:rFonts w:cs="Times New Roman"/>
                <w:sz w:val="20"/>
                <w:szCs w:val="20"/>
              </w:rPr>
            </w:pPr>
            <w:r w:rsidRPr="00513BF0">
              <w:rPr>
                <w:rFonts w:cs="Times New Roman"/>
                <w:sz w:val="20"/>
                <w:szCs w:val="20"/>
              </w:rPr>
              <w:t>The Authority is of the view that formula based fees provide</w:t>
            </w:r>
            <w:r>
              <w:rPr>
                <w:sz w:val="20"/>
                <w:szCs w:val="20"/>
              </w:rPr>
              <w:t xml:space="preserve"> </w:t>
            </w:r>
            <w:r w:rsidRPr="00513BF0">
              <w:rPr>
                <w:rFonts w:cs="Times New Roman"/>
                <w:sz w:val="20"/>
                <w:szCs w:val="20"/>
              </w:rPr>
              <w:t>more flexibility in that the formula provides for variation in fees when spectrum is assigned for-</w:t>
            </w:r>
          </w:p>
          <w:p w14:paraId="691AEEE5" w14:textId="77777777" w:rsidR="006652A6" w:rsidRPr="00513BF0" w:rsidRDefault="006652A6" w:rsidP="006652A6">
            <w:pPr>
              <w:pStyle w:val="TableParagraph"/>
              <w:ind w:left="80"/>
              <w:rPr>
                <w:rFonts w:cs="Times New Roman"/>
                <w:sz w:val="20"/>
                <w:szCs w:val="20"/>
              </w:rPr>
            </w:pPr>
          </w:p>
          <w:p w14:paraId="3843ECF5" w14:textId="77777777" w:rsidR="00B81E88" w:rsidRPr="00513BF0" w:rsidRDefault="00B81E88" w:rsidP="00B81E88">
            <w:pPr>
              <w:pStyle w:val="TableParagraph"/>
              <w:widowControl w:val="0"/>
              <w:numPr>
                <w:ilvl w:val="0"/>
                <w:numId w:val="10"/>
              </w:numPr>
              <w:autoSpaceDE w:val="0"/>
              <w:autoSpaceDN w:val="0"/>
              <w:spacing w:before="27"/>
              <w:ind w:right="69"/>
              <w:jc w:val="both"/>
              <w:rPr>
                <w:rFonts w:cs="Times New Roman"/>
                <w:sz w:val="20"/>
                <w:szCs w:val="20"/>
              </w:rPr>
            </w:pPr>
            <w:r w:rsidRPr="00513BF0">
              <w:rPr>
                <w:rFonts w:cs="Times New Roman"/>
                <w:sz w:val="20"/>
                <w:szCs w:val="20"/>
              </w:rPr>
              <w:t>A smaller geographical area vs national use;</w:t>
            </w:r>
          </w:p>
          <w:p w14:paraId="20E63325" w14:textId="77777777" w:rsidR="00B81E88" w:rsidRPr="00513BF0" w:rsidRDefault="00B81E88" w:rsidP="00B81E88">
            <w:pPr>
              <w:pStyle w:val="TableParagraph"/>
              <w:widowControl w:val="0"/>
              <w:numPr>
                <w:ilvl w:val="0"/>
                <w:numId w:val="10"/>
              </w:numPr>
              <w:autoSpaceDE w:val="0"/>
              <w:autoSpaceDN w:val="0"/>
              <w:spacing w:before="27"/>
              <w:ind w:right="69"/>
              <w:jc w:val="both"/>
              <w:rPr>
                <w:rFonts w:cs="Times New Roman"/>
                <w:sz w:val="20"/>
                <w:szCs w:val="20"/>
              </w:rPr>
            </w:pPr>
            <w:r w:rsidRPr="00513BF0">
              <w:rPr>
                <w:rFonts w:cs="Times New Roman"/>
                <w:sz w:val="20"/>
                <w:szCs w:val="20"/>
              </w:rPr>
              <w:t>Exclusive use vs shared use</w:t>
            </w:r>
          </w:p>
          <w:p w14:paraId="3A44D880" w14:textId="77777777" w:rsidR="00B81E88" w:rsidRPr="00513BF0" w:rsidRDefault="00B81E88" w:rsidP="00B81E88">
            <w:pPr>
              <w:pStyle w:val="TableParagraph"/>
              <w:widowControl w:val="0"/>
              <w:numPr>
                <w:ilvl w:val="0"/>
                <w:numId w:val="10"/>
              </w:numPr>
              <w:autoSpaceDE w:val="0"/>
              <w:autoSpaceDN w:val="0"/>
              <w:spacing w:before="27"/>
              <w:ind w:right="69"/>
              <w:jc w:val="both"/>
              <w:rPr>
                <w:rFonts w:cs="Times New Roman"/>
                <w:sz w:val="20"/>
                <w:szCs w:val="20"/>
              </w:rPr>
            </w:pPr>
            <w:r w:rsidRPr="00513BF0">
              <w:rPr>
                <w:rFonts w:cs="Times New Roman"/>
                <w:sz w:val="20"/>
                <w:szCs w:val="20"/>
              </w:rPr>
              <w:t>High demand vs low demand spectrum, etc.</w:t>
            </w:r>
          </w:p>
          <w:p w14:paraId="29438962" w14:textId="77777777" w:rsidR="006652A6" w:rsidRPr="00513BF0" w:rsidRDefault="006652A6" w:rsidP="006652A6">
            <w:pPr>
              <w:pStyle w:val="TableParagraph"/>
              <w:ind w:left="80"/>
              <w:rPr>
                <w:rFonts w:cs="Times New Roman"/>
                <w:sz w:val="20"/>
                <w:szCs w:val="20"/>
              </w:rPr>
            </w:pPr>
          </w:p>
          <w:p w14:paraId="7A3A89A8" w14:textId="35EDFB46" w:rsidR="006652A6" w:rsidRDefault="00B81E88" w:rsidP="0037414F">
            <w:pPr>
              <w:pStyle w:val="TableParagraph"/>
              <w:ind w:left="80"/>
              <w:jc w:val="both"/>
              <w:rPr>
                <w:rFonts w:cs="Times New Roman"/>
                <w:sz w:val="20"/>
                <w:szCs w:val="20"/>
              </w:rPr>
            </w:pPr>
            <w:r w:rsidRPr="00513BF0">
              <w:rPr>
                <w:rFonts w:cs="Times New Roman"/>
                <w:sz w:val="20"/>
                <w:szCs w:val="20"/>
              </w:rPr>
              <w:t>Furthermore, it allows the Authority to ensure optimal use of spectrum and discourage utilisation of spectrum for legacy services when bands have been allocated to new services, hoarding of spectrum and geographical license sharing of spectrum.</w:t>
            </w:r>
            <w:r w:rsidR="006652A6" w:rsidRPr="00513BF0">
              <w:rPr>
                <w:rFonts w:cs="Times New Roman"/>
                <w:sz w:val="20"/>
                <w:szCs w:val="20"/>
              </w:rPr>
              <w:t xml:space="preserve"> </w:t>
            </w:r>
          </w:p>
          <w:p w14:paraId="05CD738A" w14:textId="77777777" w:rsidR="0037414F" w:rsidRPr="00513BF0" w:rsidRDefault="0037414F" w:rsidP="0037414F">
            <w:pPr>
              <w:pStyle w:val="TableParagraph"/>
              <w:ind w:left="80"/>
              <w:jc w:val="both"/>
              <w:rPr>
                <w:rFonts w:cs="Times New Roman"/>
                <w:sz w:val="20"/>
                <w:szCs w:val="20"/>
              </w:rPr>
            </w:pPr>
          </w:p>
          <w:p w14:paraId="0AC3638E" w14:textId="6F94F446" w:rsidR="00B81E88" w:rsidRPr="00513BF0" w:rsidRDefault="00B81E88" w:rsidP="006652A6">
            <w:pPr>
              <w:pStyle w:val="TableParagraph"/>
              <w:ind w:left="80"/>
              <w:rPr>
                <w:rFonts w:cs="Times New Roman"/>
                <w:sz w:val="20"/>
                <w:szCs w:val="20"/>
              </w:rPr>
            </w:pPr>
            <w:r w:rsidRPr="00513BF0">
              <w:rPr>
                <w:rFonts w:cs="Times New Roman"/>
                <w:sz w:val="20"/>
                <w:szCs w:val="20"/>
              </w:rPr>
              <w:t>The fees to be charged will not differ irrespective of the method of calculation.</w:t>
            </w:r>
            <w:r w:rsidR="006652A6" w:rsidRPr="00513BF0">
              <w:rPr>
                <w:rFonts w:cs="Times New Roman"/>
                <w:sz w:val="20"/>
                <w:szCs w:val="20"/>
              </w:rPr>
              <w:t xml:space="preserve"> </w:t>
            </w:r>
          </w:p>
        </w:tc>
      </w:tr>
      <w:tr w:rsidR="00B81E88" w:rsidRPr="00513BF0" w14:paraId="3E25EC4C" w14:textId="77777777" w:rsidTr="00B865C8">
        <w:trPr>
          <w:trHeight w:val="1306"/>
        </w:trPr>
        <w:tc>
          <w:tcPr>
            <w:tcW w:w="4111" w:type="dxa"/>
          </w:tcPr>
          <w:p w14:paraId="15CFB5BC" w14:textId="77777777" w:rsidR="00D53EEC" w:rsidRPr="00513BF0" w:rsidRDefault="00B81E88" w:rsidP="00D53EEC">
            <w:pPr>
              <w:pStyle w:val="TableParagraph"/>
              <w:ind w:left="80"/>
              <w:rPr>
                <w:rFonts w:cs="Times New Roman"/>
                <w:sz w:val="20"/>
                <w:szCs w:val="20"/>
              </w:rPr>
            </w:pPr>
            <w:r w:rsidRPr="00513BF0">
              <w:rPr>
                <w:rFonts w:cs="Times New Roman"/>
                <w:b/>
                <w:sz w:val="20"/>
                <w:szCs w:val="20"/>
                <w:u w:val="single"/>
              </w:rPr>
              <w:t>Ad Table 1 – Spectrum Licences, Certificates and</w:t>
            </w:r>
            <w:r w:rsidRPr="00513BF0">
              <w:rPr>
                <w:rFonts w:cs="Times New Roman"/>
                <w:b/>
                <w:sz w:val="20"/>
                <w:szCs w:val="20"/>
              </w:rPr>
              <w:t xml:space="preserve"> </w:t>
            </w:r>
            <w:r w:rsidRPr="00513BF0">
              <w:rPr>
                <w:rFonts w:cs="Times New Roman"/>
                <w:b/>
                <w:sz w:val="20"/>
                <w:szCs w:val="20"/>
                <w:u w:val="single"/>
              </w:rPr>
              <w:t>Examination Fees</w:t>
            </w:r>
          </w:p>
          <w:p w14:paraId="021D2C99" w14:textId="56DDCB5E" w:rsidR="00B81E88" w:rsidRPr="00513BF0" w:rsidRDefault="00B81E88" w:rsidP="0071745C">
            <w:pPr>
              <w:pStyle w:val="TableParagraph"/>
              <w:ind w:left="80"/>
              <w:rPr>
                <w:rFonts w:cs="Times New Roman"/>
                <w:sz w:val="20"/>
                <w:szCs w:val="20"/>
              </w:rPr>
            </w:pPr>
          </w:p>
          <w:p w14:paraId="46B7A5C7" w14:textId="0E5F8BFA" w:rsidR="00D53EEC" w:rsidRPr="00513BF0" w:rsidRDefault="00B81E88" w:rsidP="0037414F">
            <w:pPr>
              <w:pStyle w:val="TableParagraph"/>
              <w:ind w:left="80"/>
              <w:jc w:val="both"/>
              <w:rPr>
                <w:rFonts w:cs="Times New Roman"/>
                <w:sz w:val="20"/>
                <w:szCs w:val="20"/>
              </w:rPr>
            </w:pPr>
            <w:r w:rsidRPr="00513BF0">
              <w:rPr>
                <w:rFonts w:cs="Times New Roman"/>
                <w:sz w:val="20"/>
                <w:szCs w:val="20"/>
              </w:rPr>
              <w:t>The prices in table 1 under Regulation 4 principally increase</w:t>
            </w:r>
            <w:r>
              <w:rPr>
                <w:sz w:val="20"/>
                <w:szCs w:val="20"/>
              </w:rPr>
              <w:t xml:space="preserve"> by 23%. How does the authority</w:t>
            </w:r>
            <w:r w:rsidRPr="00513BF0">
              <w:rPr>
                <w:rFonts w:cs="Times New Roman"/>
                <w:sz w:val="20"/>
                <w:szCs w:val="20"/>
              </w:rPr>
              <w:t xml:space="preserve"> justify this increase given that one of the objects under regulation 2 refers to the annual consumer price index published by the Namibia statistics Agency? That index currently stands at 2.1% in stark contrast ICASA increase the fees by 4.6%, in 2017, in 2018 by 5.3% and 4.7% in 2019. All increase were in line with the consumer price index.</w:t>
            </w:r>
            <w:r w:rsidR="00D53EEC" w:rsidRPr="00513BF0">
              <w:rPr>
                <w:rFonts w:cs="Times New Roman"/>
                <w:sz w:val="20"/>
                <w:szCs w:val="20"/>
              </w:rPr>
              <w:t xml:space="preserve"> </w:t>
            </w:r>
          </w:p>
          <w:p w14:paraId="47023D5B" w14:textId="4ECA6CAA" w:rsidR="00B81E88" w:rsidRPr="00513BF0" w:rsidRDefault="00B81E88" w:rsidP="0071745C">
            <w:pPr>
              <w:pStyle w:val="TableParagraph"/>
              <w:ind w:left="80"/>
              <w:rPr>
                <w:rFonts w:cs="Times New Roman"/>
                <w:sz w:val="20"/>
                <w:szCs w:val="20"/>
              </w:rPr>
            </w:pPr>
          </w:p>
          <w:p w14:paraId="6244E73D" w14:textId="2BEB4794" w:rsidR="00D53EEC" w:rsidRDefault="00B81E88" w:rsidP="0037414F">
            <w:pPr>
              <w:pStyle w:val="TableParagraph"/>
              <w:ind w:left="80"/>
              <w:jc w:val="both"/>
              <w:rPr>
                <w:rFonts w:cs="Times New Roman"/>
                <w:sz w:val="20"/>
                <w:szCs w:val="20"/>
              </w:rPr>
            </w:pPr>
            <w:r w:rsidRPr="00513BF0">
              <w:rPr>
                <w:rFonts w:cs="Times New Roman"/>
                <w:sz w:val="20"/>
                <w:szCs w:val="20"/>
              </w:rPr>
              <w:t>It is noted that the fee for Satellite Digital uplink per 128 kbits (VSAT spectrum) reduced to N$ 3,595.00. Although gazetted, this fee was never invoiced to MTC. This fee should</w:t>
            </w:r>
            <w:r>
              <w:rPr>
                <w:sz w:val="20"/>
                <w:szCs w:val="20"/>
              </w:rPr>
              <w:t xml:space="preserve"> not</w:t>
            </w:r>
            <w:r w:rsidRPr="00513BF0">
              <w:rPr>
                <w:rFonts w:cs="Times New Roman"/>
                <w:sz w:val="20"/>
                <w:szCs w:val="20"/>
              </w:rPr>
              <w:t xml:space="preserve"> be charged to start with as VSAT spectrum does not belong to the Authority and is instead allocated by the Satellite Operators:</w:t>
            </w:r>
            <w:r w:rsidR="00D53EEC" w:rsidRPr="00513BF0">
              <w:rPr>
                <w:rFonts w:cs="Times New Roman"/>
                <w:sz w:val="20"/>
                <w:szCs w:val="20"/>
              </w:rPr>
              <w:t xml:space="preserve"> </w:t>
            </w:r>
          </w:p>
          <w:p w14:paraId="7C25BC0C" w14:textId="77777777" w:rsidR="00320443" w:rsidRPr="00513BF0" w:rsidRDefault="00320443" w:rsidP="0037414F">
            <w:pPr>
              <w:pStyle w:val="TableParagraph"/>
              <w:ind w:left="80"/>
              <w:jc w:val="both"/>
              <w:rPr>
                <w:rFonts w:cs="Times New Roman"/>
                <w:sz w:val="20"/>
                <w:szCs w:val="20"/>
              </w:rPr>
            </w:pPr>
          </w:p>
          <w:p w14:paraId="4E93A81F" w14:textId="174C3974" w:rsidR="00B81E88" w:rsidRPr="00513BF0" w:rsidRDefault="00B81E88" w:rsidP="00B81E88">
            <w:pPr>
              <w:pStyle w:val="TableParagraph"/>
              <w:widowControl w:val="0"/>
              <w:numPr>
                <w:ilvl w:val="0"/>
                <w:numId w:val="9"/>
              </w:numPr>
              <w:autoSpaceDE w:val="0"/>
              <w:autoSpaceDN w:val="0"/>
              <w:rPr>
                <w:rFonts w:cs="Times New Roman"/>
                <w:sz w:val="20"/>
                <w:szCs w:val="20"/>
              </w:rPr>
            </w:pPr>
            <w:r w:rsidRPr="00513BF0">
              <w:rPr>
                <w:rFonts w:cs="Times New Roman"/>
                <w:sz w:val="20"/>
                <w:szCs w:val="20"/>
              </w:rPr>
              <w:t>As it stands, and because VSAT is only deployed in very remote areas of extremely low-density population, the licensees subsidize up to 80% of the end product to the customer, by paying the satellite operators. It is not revenue generating, but merely and economic development responsibility’ to satisfy and insure coverage for the remote areas.</w:t>
            </w:r>
          </w:p>
          <w:p w14:paraId="11A58528" w14:textId="77777777" w:rsidR="00B81E88" w:rsidRPr="00513BF0" w:rsidRDefault="00B81E88" w:rsidP="0071745C">
            <w:pPr>
              <w:pStyle w:val="TableParagraph"/>
              <w:ind w:left="80"/>
              <w:rPr>
                <w:rFonts w:cs="Times New Roman"/>
                <w:sz w:val="20"/>
                <w:szCs w:val="20"/>
              </w:rPr>
            </w:pPr>
          </w:p>
          <w:p w14:paraId="15F2057C" w14:textId="77777777" w:rsidR="00B81E88" w:rsidRPr="00513BF0" w:rsidRDefault="00B81E88" w:rsidP="00B81E88">
            <w:pPr>
              <w:pStyle w:val="TableParagraph"/>
              <w:widowControl w:val="0"/>
              <w:numPr>
                <w:ilvl w:val="0"/>
                <w:numId w:val="9"/>
              </w:numPr>
              <w:autoSpaceDE w:val="0"/>
              <w:autoSpaceDN w:val="0"/>
              <w:rPr>
                <w:rFonts w:cs="Times New Roman"/>
                <w:sz w:val="20"/>
                <w:szCs w:val="20"/>
              </w:rPr>
            </w:pPr>
            <w:r w:rsidRPr="00513BF0">
              <w:rPr>
                <w:rFonts w:cs="Times New Roman"/>
                <w:sz w:val="20"/>
                <w:szCs w:val="20"/>
              </w:rPr>
              <w:t>With the Authority also charging for VSAT spectrum, it will simply cause a licensee to cease VSAT services and for MTC that means cutting approximately 15000 customers as the cost of running the service is not commensurate of the revenue generated from those customers.</w:t>
            </w:r>
          </w:p>
          <w:p w14:paraId="00C91123" w14:textId="77777777" w:rsidR="00B81E88" w:rsidRPr="00513BF0" w:rsidRDefault="00B81E88" w:rsidP="0071745C">
            <w:pPr>
              <w:pStyle w:val="TableParagraph"/>
              <w:ind w:left="80"/>
              <w:rPr>
                <w:rFonts w:cs="Times New Roman"/>
                <w:sz w:val="20"/>
                <w:szCs w:val="20"/>
              </w:rPr>
            </w:pPr>
          </w:p>
          <w:p w14:paraId="3CA309D6" w14:textId="77777777" w:rsidR="00B81E88" w:rsidRPr="00513BF0" w:rsidRDefault="00B81E88" w:rsidP="00B81E88">
            <w:pPr>
              <w:pStyle w:val="TableParagraph"/>
              <w:widowControl w:val="0"/>
              <w:numPr>
                <w:ilvl w:val="0"/>
                <w:numId w:val="9"/>
              </w:numPr>
              <w:autoSpaceDE w:val="0"/>
              <w:autoSpaceDN w:val="0"/>
              <w:rPr>
                <w:rFonts w:cs="Times New Roman"/>
                <w:sz w:val="20"/>
                <w:szCs w:val="20"/>
              </w:rPr>
            </w:pPr>
            <w:r>
              <w:rPr>
                <w:sz w:val="20"/>
                <w:szCs w:val="20"/>
              </w:rPr>
              <w:t xml:space="preserve">It remains unclear why the Authority </w:t>
            </w:r>
            <w:r w:rsidRPr="00513BF0">
              <w:rPr>
                <w:rFonts w:cs="Times New Roman"/>
                <w:sz w:val="20"/>
                <w:szCs w:val="20"/>
              </w:rPr>
              <w:t>seeks to recover fees from a resource they do not manage. It is our understanding that Satellite spectrum is an international resource. The following is a practical example should this fee remain:</w:t>
            </w:r>
          </w:p>
          <w:p w14:paraId="1B6EB98A" w14:textId="77777777" w:rsidR="00320443" w:rsidRPr="00513BF0" w:rsidRDefault="00B81E88" w:rsidP="00320443">
            <w:pPr>
              <w:pStyle w:val="TableParagraph"/>
              <w:widowControl w:val="0"/>
              <w:numPr>
                <w:ilvl w:val="1"/>
                <w:numId w:val="9"/>
              </w:numPr>
              <w:autoSpaceDE w:val="0"/>
              <w:autoSpaceDN w:val="0"/>
              <w:rPr>
                <w:rFonts w:cs="Times New Roman"/>
                <w:sz w:val="20"/>
                <w:szCs w:val="20"/>
              </w:rPr>
            </w:pPr>
            <w:r w:rsidRPr="00513BF0">
              <w:rPr>
                <w:rFonts w:cs="Times New Roman"/>
                <w:sz w:val="20"/>
                <w:szCs w:val="20"/>
              </w:rPr>
              <w:t>At N$3,959.00 per 128Kbits to CRAN</w:t>
            </w:r>
            <w:r w:rsidR="00320443">
              <w:rPr>
                <w:rFonts w:cs="Times New Roman"/>
                <w:sz w:val="20"/>
                <w:szCs w:val="20"/>
              </w:rPr>
              <w:t xml:space="preserve"> </w:t>
            </w:r>
          </w:p>
          <w:p w14:paraId="561A5FF8" w14:textId="7E4E4309" w:rsidR="00B81E88" w:rsidRPr="00513BF0" w:rsidRDefault="00B81E88" w:rsidP="00320443">
            <w:pPr>
              <w:pStyle w:val="TableParagraph"/>
              <w:ind w:left="811"/>
              <w:rPr>
                <w:rFonts w:cs="Times New Roman"/>
                <w:sz w:val="20"/>
                <w:szCs w:val="20"/>
              </w:rPr>
            </w:pPr>
            <w:r w:rsidRPr="00513BF0">
              <w:rPr>
                <w:rFonts w:cs="Times New Roman"/>
                <w:sz w:val="20"/>
                <w:szCs w:val="20"/>
              </w:rPr>
              <w:t>36 MHz will then cost 3959*36/0.128 = 1,113,468.75 per annum</w:t>
            </w:r>
          </w:p>
          <w:p w14:paraId="4CE0A1FB" w14:textId="77777777" w:rsidR="00B81E88" w:rsidRPr="00513BF0" w:rsidRDefault="00B81E88" w:rsidP="00B81E88">
            <w:pPr>
              <w:pStyle w:val="TableParagraph"/>
              <w:widowControl w:val="0"/>
              <w:numPr>
                <w:ilvl w:val="1"/>
                <w:numId w:val="9"/>
              </w:numPr>
              <w:autoSpaceDE w:val="0"/>
              <w:autoSpaceDN w:val="0"/>
              <w:rPr>
                <w:rFonts w:cs="Times New Roman"/>
                <w:sz w:val="20"/>
                <w:szCs w:val="20"/>
              </w:rPr>
            </w:pPr>
            <w:r w:rsidRPr="00513BF0">
              <w:rPr>
                <w:rFonts w:cs="Times New Roman"/>
                <w:sz w:val="20"/>
                <w:szCs w:val="20"/>
              </w:rPr>
              <w:t>Spectrum at US$600/Mbps to satellite operators</w:t>
            </w:r>
          </w:p>
          <w:p w14:paraId="60B301CF" w14:textId="77777777" w:rsidR="00B81E88" w:rsidRPr="00513BF0" w:rsidRDefault="00B81E88" w:rsidP="00320443">
            <w:pPr>
              <w:pStyle w:val="TableParagraph"/>
              <w:ind w:left="811"/>
              <w:rPr>
                <w:rFonts w:cs="Times New Roman"/>
                <w:sz w:val="20"/>
                <w:szCs w:val="20"/>
              </w:rPr>
            </w:pPr>
            <w:r w:rsidRPr="00513BF0">
              <w:rPr>
                <w:rFonts w:cs="Times New Roman"/>
                <w:sz w:val="20"/>
                <w:szCs w:val="20"/>
              </w:rPr>
              <w:t>36 MHz translates to roughly 108 Mbps 600*108 = US$ 59 400/month which translates to about 1m NAD per month and 12m per year</w:t>
            </w:r>
          </w:p>
        </w:tc>
        <w:tc>
          <w:tcPr>
            <w:tcW w:w="4536" w:type="dxa"/>
          </w:tcPr>
          <w:p w14:paraId="6A0EA7F5" w14:textId="4F4E456F" w:rsidR="006652A6" w:rsidRPr="00513BF0" w:rsidRDefault="00B81E88" w:rsidP="006652A6">
            <w:pPr>
              <w:pStyle w:val="TableParagraph"/>
              <w:ind w:left="80"/>
              <w:rPr>
                <w:rFonts w:cs="Times New Roman"/>
                <w:sz w:val="20"/>
                <w:szCs w:val="20"/>
              </w:rPr>
            </w:pPr>
            <w:r w:rsidRPr="00513BF0">
              <w:rPr>
                <w:rFonts w:cs="Times New Roman"/>
                <w:sz w:val="20"/>
                <w:szCs w:val="20"/>
              </w:rPr>
              <w:t>The spectrum fees published in 2017 was based on CPI up to 2015. The Authority has not implemented annual increases, but kept the spectrum fees at the same level for 4 years. Thus in contrast with ICASA, the Authority has not increased</w:t>
            </w:r>
            <w:r w:rsidR="006652A6">
              <w:rPr>
                <w:rFonts w:cs="Times New Roman"/>
                <w:sz w:val="20"/>
                <w:szCs w:val="20"/>
              </w:rPr>
              <w:t xml:space="preserve"> fees for the period 2016-2019.</w:t>
            </w:r>
            <w:r w:rsidR="006652A6" w:rsidRPr="00513BF0">
              <w:rPr>
                <w:rFonts w:cs="Times New Roman"/>
                <w:sz w:val="20"/>
                <w:szCs w:val="20"/>
              </w:rPr>
              <w:t xml:space="preserve"> </w:t>
            </w:r>
          </w:p>
          <w:p w14:paraId="335528CC" w14:textId="77777777" w:rsidR="006652A6" w:rsidRPr="00513BF0" w:rsidRDefault="006652A6" w:rsidP="006652A6">
            <w:pPr>
              <w:pStyle w:val="TableParagraph"/>
              <w:ind w:left="80"/>
              <w:rPr>
                <w:rFonts w:cs="Times New Roman"/>
                <w:sz w:val="20"/>
                <w:szCs w:val="20"/>
              </w:rPr>
            </w:pPr>
          </w:p>
          <w:p w14:paraId="3E57B497" w14:textId="77777777" w:rsidR="0037414F" w:rsidRPr="00513BF0" w:rsidRDefault="00B81E88" w:rsidP="00C0192F">
            <w:pPr>
              <w:pStyle w:val="TableParagraph"/>
              <w:ind w:left="80"/>
              <w:jc w:val="both"/>
              <w:rPr>
                <w:rFonts w:cs="Times New Roman"/>
                <w:sz w:val="20"/>
                <w:szCs w:val="20"/>
              </w:rPr>
            </w:pPr>
            <w:r w:rsidRPr="00513BF0">
              <w:rPr>
                <w:rFonts w:cs="Times New Roman"/>
                <w:sz w:val="20"/>
                <w:szCs w:val="20"/>
              </w:rPr>
              <w:t>Administrative fees have been set in accordance with the CPIs of 2016 (6.7%),2017 (6.2%),2018 (4.3%)</w:t>
            </w:r>
            <w:r w:rsidR="0037414F">
              <w:rPr>
                <w:rFonts w:cs="Times New Roman"/>
                <w:sz w:val="20"/>
                <w:szCs w:val="20"/>
              </w:rPr>
              <w:t xml:space="preserve"> </w:t>
            </w:r>
            <w:r w:rsidRPr="00513BF0">
              <w:rPr>
                <w:rFonts w:cs="Times New Roman"/>
                <w:sz w:val="20"/>
                <w:szCs w:val="20"/>
              </w:rPr>
              <w:t xml:space="preserve">and 2019 (3.7%) as well as the total cost of spectrum management. The fees have however been </w:t>
            </w:r>
            <w:r>
              <w:rPr>
                <w:sz w:val="20"/>
                <w:szCs w:val="20"/>
              </w:rPr>
              <w:t xml:space="preserve">capped </w:t>
            </w:r>
            <w:r w:rsidRPr="00513BF0">
              <w:rPr>
                <w:rFonts w:cs="Times New Roman"/>
                <w:sz w:val="20"/>
                <w:szCs w:val="20"/>
              </w:rPr>
              <w:t>at 12% taking into account the oral and written submissions from stakeholders.</w:t>
            </w:r>
            <w:r w:rsidR="006652A6" w:rsidRPr="00513BF0">
              <w:rPr>
                <w:rFonts w:cs="Times New Roman"/>
                <w:sz w:val="20"/>
                <w:szCs w:val="20"/>
              </w:rPr>
              <w:t xml:space="preserve"> </w:t>
            </w:r>
          </w:p>
          <w:p w14:paraId="26CFAE06" w14:textId="77777777" w:rsidR="0037414F" w:rsidRPr="00513BF0" w:rsidRDefault="0037414F" w:rsidP="0037414F">
            <w:pPr>
              <w:pStyle w:val="TableParagraph"/>
              <w:ind w:left="80"/>
              <w:rPr>
                <w:rFonts w:cs="Times New Roman"/>
                <w:sz w:val="20"/>
                <w:szCs w:val="20"/>
              </w:rPr>
            </w:pPr>
          </w:p>
          <w:p w14:paraId="7268F1AF" w14:textId="3F0CC44E" w:rsidR="006652A6" w:rsidRPr="00513BF0" w:rsidRDefault="00B81E88" w:rsidP="0037414F">
            <w:pPr>
              <w:pStyle w:val="TableParagraph"/>
              <w:ind w:left="80"/>
              <w:jc w:val="both"/>
              <w:rPr>
                <w:rFonts w:cs="Times New Roman"/>
                <w:sz w:val="20"/>
                <w:szCs w:val="20"/>
              </w:rPr>
            </w:pPr>
            <w:r w:rsidRPr="00513BF0">
              <w:rPr>
                <w:rFonts w:cs="Times New Roman"/>
                <w:sz w:val="20"/>
                <w:szCs w:val="20"/>
              </w:rPr>
              <w:t>MTC has not been charged for fixed satellite spectrum (VSAT) because MTC does not hold a spectrum license for fixed satellite. (Government Gazette 5037 and all subsequent gazette notices refers.) MTC applied for fixed satellite spectrum in 2020.</w:t>
            </w:r>
            <w:r w:rsidR="006652A6" w:rsidRPr="00513BF0">
              <w:rPr>
                <w:rFonts w:cs="Times New Roman"/>
                <w:sz w:val="20"/>
                <w:szCs w:val="20"/>
              </w:rPr>
              <w:t xml:space="preserve"> </w:t>
            </w:r>
          </w:p>
          <w:p w14:paraId="13B552EC" w14:textId="77777777" w:rsidR="006652A6" w:rsidRPr="00513BF0" w:rsidRDefault="006652A6" w:rsidP="006652A6">
            <w:pPr>
              <w:pStyle w:val="TableParagraph"/>
              <w:ind w:left="80"/>
              <w:rPr>
                <w:rFonts w:cs="Times New Roman"/>
                <w:sz w:val="20"/>
                <w:szCs w:val="20"/>
              </w:rPr>
            </w:pPr>
          </w:p>
          <w:p w14:paraId="06669E1B" w14:textId="00D3D0FE" w:rsidR="006652A6" w:rsidRDefault="00B81E88" w:rsidP="0037414F">
            <w:pPr>
              <w:pStyle w:val="TableParagraph"/>
              <w:ind w:left="80"/>
              <w:jc w:val="both"/>
              <w:rPr>
                <w:rFonts w:cs="Times New Roman"/>
                <w:sz w:val="20"/>
                <w:szCs w:val="20"/>
              </w:rPr>
            </w:pPr>
            <w:r w:rsidRPr="00513BF0">
              <w:rPr>
                <w:rFonts w:cs="Times New Roman"/>
                <w:sz w:val="20"/>
                <w:szCs w:val="20"/>
              </w:rPr>
              <w:t>The allocation of spectrum, including satellite spectrum is set out in the Frequency Band Plan of Namibia indicating which satellite service may be provided within which band as well as whether the service to be offered is on an Earth-to-space, space- to-Earth or space-to-space basis. The Authority is the only entity mandated by sections 99-101 of the Communications Act to issue spectrum licences for assignment of spectrum for use by licensees. Satellite operators have no mandate to assign spectrum for fixed satellite services in Namibia.</w:t>
            </w:r>
            <w:r w:rsidR="006652A6" w:rsidRPr="00513BF0">
              <w:rPr>
                <w:rFonts w:cs="Times New Roman"/>
                <w:sz w:val="20"/>
                <w:szCs w:val="20"/>
              </w:rPr>
              <w:t xml:space="preserve"> </w:t>
            </w:r>
          </w:p>
          <w:p w14:paraId="59055C97" w14:textId="77777777" w:rsidR="0037414F" w:rsidRPr="00513BF0" w:rsidRDefault="0037414F" w:rsidP="0037414F">
            <w:pPr>
              <w:pStyle w:val="TableParagraph"/>
              <w:ind w:left="80"/>
              <w:jc w:val="both"/>
              <w:rPr>
                <w:rFonts w:cs="Times New Roman"/>
                <w:sz w:val="20"/>
                <w:szCs w:val="20"/>
              </w:rPr>
            </w:pPr>
          </w:p>
          <w:p w14:paraId="204DDCB4" w14:textId="356F5ED0" w:rsidR="006652A6" w:rsidRDefault="00B81E88" w:rsidP="0037414F">
            <w:pPr>
              <w:pStyle w:val="TableParagraph"/>
              <w:ind w:left="80"/>
              <w:jc w:val="both"/>
              <w:rPr>
                <w:rFonts w:cs="Times New Roman"/>
                <w:sz w:val="20"/>
                <w:szCs w:val="20"/>
              </w:rPr>
            </w:pPr>
            <w:r w:rsidRPr="00513BF0">
              <w:rPr>
                <w:rFonts w:cs="Times New Roman"/>
                <w:sz w:val="20"/>
                <w:szCs w:val="20"/>
              </w:rPr>
              <w:t>Namibia grants permission</w:t>
            </w:r>
            <w:r>
              <w:rPr>
                <w:sz w:val="20"/>
                <w:szCs w:val="20"/>
              </w:rPr>
              <w:t xml:space="preserve"> to satellite operators </w:t>
            </w:r>
            <w:r w:rsidRPr="00513BF0">
              <w:rPr>
                <w:rFonts w:cs="Times New Roman"/>
                <w:sz w:val="20"/>
                <w:szCs w:val="20"/>
              </w:rPr>
              <w:t>to beam over Namibia as per ITU procedures. The Authority is mandated to manage this spectrum resource for the terrestrial segment of satellite. Licensees lease facilities from satellite operators for the space segment in that they do not operate their own satellites. Fixed satellite services comprises of a space segment and a terrestrial segment.</w:t>
            </w:r>
            <w:r w:rsidR="006652A6" w:rsidRPr="00513BF0">
              <w:rPr>
                <w:rFonts w:cs="Times New Roman"/>
                <w:sz w:val="20"/>
                <w:szCs w:val="20"/>
              </w:rPr>
              <w:t xml:space="preserve"> </w:t>
            </w:r>
          </w:p>
          <w:p w14:paraId="0C952D0E" w14:textId="77777777" w:rsidR="0037414F" w:rsidRPr="00513BF0" w:rsidRDefault="0037414F" w:rsidP="0037414F">
            <w:pPr>
              <w:pStyle w:val="TableParagraph"/>
              <w:ind w:left="80"/>
              <w:jc w:val="both"/>
              <w:rPr>
                <w:rFonts w:cs="Times New Roman"/>
                <w:sz w:val="20"/>
                <w:szCs w:val="20"/>
              </w:rPr>
            </w:pPr>
          </w:p>
          <w:p w14:paraId="43200328" w14:textId="3B855C7D" w:rsidR="00B81E88" w:rsidRPr="00513BF0" w:rsidRDefault="00B81E88" w:rsidP="006652A6">
            <w:pPr>
              <w:pStyle w:val="TableParagraph"/>
              <w:ind w:left="80"/>
              <w:rPr>
                <w:rFonts w:cs="Times New Roman"/>
                <w:sz w:val="20"/>
                <w:szCs w:val="20"/>
              </w:rPr>
            </w:pPr>
            <w:r w:rsidRPr="00513BF0">
              <w:rPr>
                <w:rFonts w:cs="Times New Roman"/>
                <w:sz w:val="20"/>
                <w:szCs w:val="20"/>
              </w:rPr>
              <w:t>Be that as it may , the cost of satellite will now come down by 23% due to the consideration of the input made by licensees</w:t>
            </w:r>
          </w:p>
        </w:tc>
      </w:tr>
      <w:tr w:rsidR="00B81E88" w:rsidRPr="00513BF0" w14:paraId="08148CAB" w14:textId="77777777" w:rsidTr="00B865C8">
        <w:trPr>
          <w:trHeight w:val="1306"/>
        </w:trPr>
        <w:tc>
          <w:tcPr>
            <w:tcW w:w="4111" w:type="dxa"/>
          </w:tcPr>
          <w:p w14:paraId="725041DC" w14:textId="77777777" w:rsidR="00D53EEC" w:rsidRPr="00320443" w:rsidRDefault="00B81E88" w:rsidP="00D53EEC">
            <w:pPr>
              <w:pStyle w:val="TableParagraph"/>
              <w:ind w:left="80"/>
              <w:rPr>
                <w:rFonts w:cs="Times New Roman"/>
                <w:b/>
                <w:sz w:val="20"/>
                <w:szCs w:val="20"/>
              </w:rPr>
            </w:pPr>
            <w:r w:rsidRPr="00320443">
              <w:rPr>
                <w:rFonts w:cs="Times New Roman"/>
                <w:b/>
                <w:sz w:val="20"/>
                <w:szCs w:val="20"/>
                <w:u w:val="single"/>
              </w:rPr>
              <w:t>Ad regulation 5 – Formula-based fees</w:t>
            </w:r>
          </w:p>
          <w:p w14:paraId="6CF0ABF2" w14:textId="0AFEF6D7" w:rsidR="00B81E88" w:rsidRPr="00513BF0" w:rsidRDefault="00B81E88" w:rsidP="0071745C">
            <w:pPr>
              <w:pStyle w:val="TableParagraph"/>
              <w:ind w:left="80"/>
              <w:rPr>
                <w:rFonts w:cs="Times New Roman"/>
                <w:sz w:val="20"/>
                <w:szCs w:val="20"/>
              </w:rPr>
            </w:pPr>
          </w:p>
          <w:p w14:paraId="1A7AE845" w14:textId="782D620D" w:rsidR="00D53EEC" w:rsidRPr="00513BF0" w:rsidRDefault="00B81E88" w:rsidP="00320443">
            <w:pPr>
              <w:pStyle w:val="TableParagraph"/>
              <w:ind w:left="80"/>
              <w:jc w:val="both"/>
              <w:rPr>
                <w:rFonts w:cs="Times New Roman"/>
                <w:sz w:val="20"/>
                <w:szCs w:val="20"/>
              </w:rPr>
            </w:pPr>
            <w:r w:rsidRPr="00513BF0">
              <w:rPr>
                <w:rFonts w:cs="Times New Roman"/>
                <w:b/>
                <w:sz w:val="20"/>
                <w:szCs w:val="20"/>
              </w:rPr>
              <w:t>Proposed formula:</w:t>
            </w:r>
            <w:r w:rsidRPr="00513BF0">
              <w:rPr>
                <w:rFonts w:cs="Times New Roman"/>
                <w:sz w:val="20"/>
                <w:szCs w:val="20"/>
              </w:rPr>
              <w:t xml:space="preserve"> A practical application of the proposed formula to existing spectrum allocated to MTC is as follows:</w:t>
            </w:r>
            <w:r w:rsidR="00D53EEC" w:rsidRPr="00513BF0">
              <w:rPr>
                <w:rFonts w:cs="Times New Roman"/>
                <w:sz w:val="20"/>
                <w:szCs w:val="20"/>
              </w:rPr>
              <w:t xml:space="preserve"> </w:t>
            </w:r>
          </w:p>
          <w:p w14:paraId="14397635" w14:textId="635A4E4E" w:rsidR="00B81E88" w:rsidRPr="00513BF0" w:rsidRDefault="00B81E88" w:rsidP="0071745C">
            <w:pPr>
              <w:pStyle w:val="TableParagraph"/>
              <w:ind w:left="80"/>
              <w:rPr>
                <w:rFonts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9"/>
              <w:gridCol w:w="737"/>
              <w:gridCol w:w="749"/>
              <w:gridCol w:w="777"/>
              <w:gridCol w:w="1160"/>
            </w:tblGrid>
            <w:tr w:rsidR="00B81E88" w:rsidRPr="00513BF0" w14:paraId="58533C14" w14:textId="77777777" w:rsidTr="0071745C">
              <w:trPr>
                <w:trHeight w:val="260"/>
                <w:jc w:val="center"/>
              </w:trPr>
              <w:tc>
                <w:tcPr>
                  <w:tcW w:w="4152" w:type="dxa"/>
                  <w:gridSpan w:val="5"/>
                </w:tcPr>
                <w:p w14:paraId="7B787CA8" w14:textId="77777777" w:rsidR="00B81E88" w:rsidRPr="00320443" w:rsidRDefault="00B81E88" w:rsidP="0071745C">
                  <w:pPr>
                    <w:pStyle w:val="TableParagraph"/>
                    <w:spacing w:before="36"/>
                    <w:ind w:left="79"/>
                    <w:rPr>
                      <w:rFonts w:cs="Times New Roman"/>
                      <w:sz w:val="16"/>
                      <w:szCs w:val="20"/>
                    </w:rPr>
                  </w:pPr>
                  <w:r w:rsidRPr="00320443">
                    <w:rPr>
                      <w:rFonts w:cs="Times New Roman"/>
                      <w:sz w:val="16"/>
                      <w:szCs w:val="20"/>
                    </w:rPr>
                    <w:t>Annual Spectrum fee = BFWxFBFxCFxSHRFxGEOFxBV</w:t>
                  </w:r>
                </w:p>
              </w:tc>
            </w:tr>
            <w:tr w:rsidR="00B81E88" w:rsidRPr="00513BF0" w14:paraId="041B27E2" w14:textId="77777777" w:rsidTr="0071745C">
              <w:trPr>
                <w:trHeight w:val="260"/>
                <w:jc w:val="center"/>
              </w:trPr>
              <w:tc>
                <w:tcPr>
                  <w:tcW w:w="729" w:type="dxa"/>
                </w:tcPr>
                <w:p w14:paraId="0C34BFA2" w14:textId="77777777" w:rsidR="00B81E88" w:rsidRPr="00320443" w:rsidRDefault="00B81E88" w:rsidP="0071745C">
                  <w:pPr>
                    <w:pStyle w:val="TableParagraph"/>
                    <w:spacing w:before="36"/>
                    <w:ind w:left="79"/>
                    <w:rPr>
                      <w:rFonts w:cs="Times New Roman"/>
                      <w:sz w:val="16"/>
                      <w:szCs w:val="20"/>
                    </w:rPr>
                  </w:pPr>
                  <w:r w:rsidRPr="00320443">
                    <w:rPr>
                      <w:rFonts w:cs="Times New Roman"/>
                      <w:w w:val="95"/>
                      <w:sz w:val="16"/>
                      <w:szCs w:val="20"/>
                    </w:rPr>
                    <w:t>Spectrum</w:t>
                  </w:r>
                </w:p>
              </w:tc>
              <w:tc>
                <w:tcPr>
                  <w:tcW w:w="737" w:type="dxa"/>
                </w:tcPr>
                <w:p w14:paraId="5EA860B3"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900MHz</w:t>
                  </w:r>
                </w:p>
              </w:tc>
              <w:tc>
                <w:tcPr>
                  <w:tcW w:w="749" w:type="dxa"/>
                </w:tcPr>
                <w:p w14:paraId="7C928B5D" w14:textId="77777777" w:rsidR="00B81E88" w:rsidRPr="00320443" w:rsidRDefault="00B81E88" w:rsidP="0071745C">
                  <w:pPr>
                    <w:pStyle w:val="TableParagraph"/>
                    <w:spacing w:before="36"/>
                    <w:rPr>
                      <w:rFonts w:cs="Times New Roman"/>
                      <w:sz w:val="16"/>
                      <w:szCs w:val="20"/>
                    </w:rPr>
                  </w:pPr>
                  <w:r w:rsidRPr="00320443">
                    <w:rPr>
                      <w:rFonts w:cs="Times New Roman"/>
                      <w:w w:val="95"/>
                      <w:sz w:val="16"/>
                      <w:szCs w:val="20"/>
                    </w:rPr>
                    <w:t>1800MHz</w:t>
                  </w:r>
                </w:p>
              </w:tc>
              <w:tc>
                <w:tcPr>
                  <w:tcW w:w="777" w:type="dxa"/>
                </w:tcPr>
                <w:p w14:paraId="1CF974E9"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2100MHz</w:t>
                  </w:r>
                </w:p>
              </w:tc>
              <w:tc>
                <w:tcPr>
                  <w:tcW w:w="1160" w:type="dxa"/>
                </w:tcPr>
                <w:p w14:paraId="2906C75E"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Comments</w:t>
                  </w:r>
                </w:p>
              </w:tc>
            </w:tr>
            <w:tr w:rsidR="00B81E88" w:rsidRPr="00513BF0" w14:paraId="5A2EF3A4" w14:textId="77777777" w:rsidTr="0071745C">
              <w:trPr>
                <w:trHeight w:val="440"/>
                <w:jc w:val="center"/>
              </w:trPr>
              <w:tc>
                <w:tcPr>
                  <w:tcW w:w="729" w:type="dxa"/>
                </w:tcPr>
                <w:p w14:paraId="20D5CE90" w14:textId="77777777" w:rsidR="00B81E88" w:rsidRPr="00320443" w:rsidRDefault="00B81E88" w:rsidP="0071745C">
                  <w:pPr>
                    <w:pStyle w:val="TableParagraph"/>
                    <w:spacing w:before="36"/>
                    <w:ind w:left="79"/>
                    <w:rPr>
                      <w:rFonts w:cs="Times New Roman"/>
                      <w:sz w:val="16"/>
                      <w:szCs w:val="20"/>
                    </w:rPr>
                  </w:pPr>
                  <w:r w:rsidRPr="00320443">
                    <w:rPr>
                      <w:rFonts w:cs="Times New Roman"/>
                      <w:sz w:val="16"/>
                      <w:szCs w:val="20"/>
                    </w:rPr>
                    <w:t>BWF</w:t>
                  </w:r>
                </w:p>
              </w:tc>
              <w:tc>
                <w:tcPr>
                  <w:tcW w:w="737" w:type="dxa"/>
                </w:tcPr>
                <w:p w14:paraId="45622C66"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18</w:t>
                  </w:r>
                </w:p>
              </w:tc>
              <w:tc>
                <w:tcPr>
                  <w:tcW w:w="749" w:type="dxa"/>
                </w:tcPr>
                <w:p w14:paraId="624E26D6"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35</w:t>
                  </w:r>
                </w:p>
              </w:tc>
              <w:tc>
                <w:tcPr>
                  <w:tcW w:w="777" w:type="dxa"/>
                </w:tcPr>
                <w:p w14:paraId="6B34BB27"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20</w:t>
                  </w:r>
                </w:p>
              </w:tc>
              <w:tc>
                <w:tcPr>
                  <w:tcW w:w="1160" w:type="dxa"/>
                </w:tcPr>
                <w:p w14:paraId="60FCB815" w14:textId="77777777" w:rsidR="00B81E88" w:rsidRPr="00320443" w:rsidRDefault="00B81E88" w:rsidP="0071745C">
                  <w:pPr>
                    <w:pStyle w:val="TableParagraph"/>
                    <w:spacing w:before="39" w:line="235" w:lineRule="auto"/>
                    <w:ind w:hanging="1"/>
                    <w:rPr>
                      <w:rFonts w:cs="Times New Roman"/>
                      <w:sz w:val="16"/>
                      <w:szCs w:val="20"/>
                    </w:rPr>
                  </w:pPr>
                  <w:r w:rsidRPr="00320443">
                    <w:rPr>
                      <w:rFonts w:cs="Times New Roman"/>
                      <w:w w:val="90"/>
                      <w:sz w:val="16"/>
                      <w:szCs w:val="20"/>
                    </w:rPr>
                    <w:t xml:space="preserve">MTC BW alloca- </w:t>
                  </w:r>
                  <w:r w:rsidRPr="00320443">
                    <w:rPr>
                      <w:rFonts w:cs="Times New Roman"/>
                      <w:sz w:val="16"/>
                      <w:szCs w:val="20"/>
                    </w:rPr>
                    <w:t>tion</w:t>
                  </w:r>
                </w:p>
              </w:tc>
            </w:tr>
            <w:tr w:rsidR="00B81E88" w:rsidRPr="00513BF0" w14:paraId="6149CD0A" w14:textId="77777777" w:rsidTr="0071745C">
              <w:trPr>
                <w:trHeight w:val="260"/>
                <w:jc w:val="center"/>
              </w:trPr>
              <w:tc>
                <w:tcPr>
                  <w:tcW w:w="729" w:type="dxa"/>
                </w:tcPr>
                <w:p w14:paraId="5645B7A3"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FBF</w:t>
                  </w:r>
                </w:p>
              </w:tc>
              <w:tc>
                <w:tcPr>
                  <w:tcW w:w="737" w:type="dxa"/>
                </w:tcPr>
                <w:p w14:paraId="4BA2D8FB"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0.75</w:t>
                  </w:r>
                </w:p>
              </w:tc>
              <w:tc>
                <w:tcPr>
                  <w:tcW w:w="749" w:type="dxa"/>
                </w:tcPr>
                <w:p w14:paraId="416AFD2F"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0.75</w:t>
                  </w:r>
                </w:p>
              </w:tc>
              <w:tc>
                <w:tcPr>
                  <w:tcW w:w="777" w:type="dxa"/>
                </w:tcPr>
                <w:p w14:paraId="407FD269"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0.75</w:t>
                  </w:r>
                </w:p>
              </w:tc>
              <w:tc>
                <w:tcPr>
                  <w:tcW w:w="1160" w:type="dxa"/>
                </w:tcPr>
                <w:p w14:paraId="02B7D3ED"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Table 3</w:t>
                  </w:r>
                </w:p>
              </w:tc>
            </w:tr>
            <w:tr w:rsidR="00B81E88" w:rsidRPr="00513BF0" w14:paraId="692AD6BD" w14:textId="77777777" w:rsidTr="0071745C">
              <w:trPr>
                <w:trHeight w:val="260"/>
                <w:jc w:val="center"/>
              </w:trPr>
              <w:tc>
                <w:tcPr>
                  <w:tcW w:w="729" w:type="dxa"/>
                </w:tcPr>
                <w:p w14:paraId="674BDD56"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CF</w:t>
                  </w:r>
                </w:p>
              </w:tc>
              <w:tc>
                <w:tcPr>
                  <w:tcW w:w="737" w:type="dxa"/>
                </w:tcPr>
                <w:p w14:paraId="647721E1"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30</w:t>
                  </w:r>
                </w:p>
              </w:tc>
              <w:tc>
                <w:tcPr>
                  <w:tcW w:w="749" w:type="dxa"/>
                </w:tcPr>
                <w:p w14:paraId="495B9552"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30</w:t>
                  </w:r>
                </w:p>
              </w:tc>
              <w:tc>
                <w:tcPr>
                  <w:tcW w:w="777" w:type="dxa"/>
                </w:tcPr>
                <w:p w14:paraId="597C49CC"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30</w:t>
                  </w:r>
                </w:p>
              </w:tc>
              <w:tc>
                <w:tcPr>
                  <w:tcW w:w="1160" w:type="dxa"/>
                </w:tcPr>
                <w:p w14:paraId="1027FD3D"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Table 4</w:t>
                  </w:r>
                </w:p>
              </w:tc>
            </w:tr>
            <w:tr w:rsidR="00B81E88" w:rsidRPr="00513BF0" w14:paraId="6963369D" w14:textId="77777777" w:rsidTr="0071745C">
              <w:trPr>
                <w:trHeight w:val="260"/>
                <w:jc w:val="center"/>
              </w:trPr>
              <w:tc>
                <w:tcPr>
                  <w:tcW w:w="729" w:type="dxa"/>
                </w:tcPr>
                <w:p w14:paraId="2B7CF8BD"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SHRF</w:t>
                  </w:r>
                </w:p>
              </w:tc>
              <w:tc>
                <w:tcPr>
                  <w:tcW w:w="737" w:type="dxa"/>
                </w:tcPr>
                <w:p w14:paraId="745F2999"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749" w:type="dxa"/>
                </w:tcPr>
                <w:p w14:paraId="01CBC29B"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777" w:type="dxa"/>
                </w:tcPr>
                <w:p w14:paraId="00F556B4"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1160" w:type="dxa"/>
                </w:tcPr>
                <w:p w14:paraId="5F0BF92E"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Table 5</w:t>
                  </w:r>
                </w:p>
              </w:tc>
            </w:tr>
            <w:tr w:rsidR="00B81E88" w:rsidRPr="00513BF0" w14:paraId="0096F21D" w14:textId="77777777" w:rsidTr="0071745C">
              <w:trPr>
                <w:trHeight w:val="260"/>
                <w:jc w:val="center"/>
              </w:trPr>
              <w:tc>
                <w:tcPr>
                  <w:tcW w:w="729" w:type="dxa"/>
                </w:tcPr>
                <w:p w14:paraId="1E331B20"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GEOF</w:t>
                  </w:r>
                </w:p>
              </w:tc>
              <w:tc>
                <w:tcPr>
                  <w:tcW w:w="737" w:type="dxa"/>
                </w:tcPr>
                <w:p w14:paraId="29A4584B"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749" w:type="dxa"/>
                </w:tcPr>
                <w:p w14:paraId="20DBFB88"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777" w:type="dxa"/>
                </w:tcPr>
                <w:p w14:paraId="324D526B" w14:textId="77777777" w:rsidR="00B81E88" w:rsidRPr="00320443" w:rsidRDefault="00B81E88" w:rsidP="0071745C">
                  <w:pPr>
                    <w:pStyle w:val="TableParagraph"/>
                    <w:spacing w:before="36"/>
                    <w:rPr>
                      <w:rFonts w:cs="Times New Roman"/>
                      <w:sz w:val="16"/>
                      <w:szCs w:val="20"/>
                    </w:rPr>
                  </w:pPr>
                  <w:r w:rsidRPr="00320443">
                    <w:rPr>
                      <w:rFonts w:cs="Times New Roman"/>
                      <w:w w:val="90"/>
                      <w:sz w:val="16"/>
                      <w:szCs w:val="20"/>
                    </w:rPr>
                    <w:t>1</w:t>
                  </w:r>
                </w:p>
              </w:tc>
              <w:tc>
                <w:tcPr>
                  <w:tcW w:w="1160" w:type="dxa"/>
                </w:tcPr>
                <w:p w14:paraId="5B5FADAF"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Table 6</w:t>
                  </w:r>
                </w:p>
              </w:tc>
            </w:tr>
            <w:tr w:rsidR="00B81E88" w:rsidRPr="00513BF0" w14:paraId="16C3A341" w14:textId="77777777" w:rsidTr="0071745C">
              <w:trPr>
                <w:trHeight w:val="260"/>
                <w:jc w:val="center"/>
              </w:trPr>
              <w:tc>
                <w:tcPr>
                  <w:tcW w:w="729" w:type="dxa"/>
                </w:tcPr>
                <w:p w14:paraId="39D2E65A"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BV</w:t>
                  </w:r>
                </w:p>
              </w:tc>
              <w:tc>
                <w:tcPr>
                  <w:tcW w:w="737" w:type="dxa"/>
                </w:tcPr>
                <w:p w14:paraId="6ADBDDCA"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30.348</w:t>
                  </w:r>
                </w:p>
              </w:tc>
              <w:tc>
                <w:tcPr>
                  <w:tcW w:w="749" w:type="dxa"/>
                </w:tcPr>
                <w:p w14:paraId="0FD8848C"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59,010</w:t>
                  </w:r>
                </w:p>
              </w:tc>
              <w:tc>
                <w:tcPr>
                  <w:tcW w:w="777" w:type="dxa"/>
                </w:tcPr>
                <w:p w14:paraId="0061B393"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33,720</w:t>
                  </w:r>
                </w:p>
              </w:tc>
              <w:tc>
                <w:tcPr>
                  <w:tcW w:w="1160" w:type="dxa"/>
                </w:tcPr>
                <w:p w14:paraId="3F32B12B" w14:textId="77777777" w:rsidR="00B81E88" w:rsidRPr="00320443" w:rsidRDefault="00B81E88" w:rsidP="0071745C">
                  <w:pPr>
                    <w:pStyle w:val="TableParagraph"/>
                    <w:spacing w:before="36"/>
                    <w:rPr>
                      <w:rFonts w:cs="Times New Roman"/>
                      <w:sz w:val="16"/>
                      <w:szCs w:val="20"/>
                    </w:rPr>
                  </w:pPr>
                  <w:r w:rsidRPr="00320443">
                    <w:rPr>
                      <w:rFonts w:cs="Times New Roman"/>
                      <w:sz w:val="16"/>
                      <w:szCs w:val="20"/>
                    </w:rPr>
                    <w:t>@1686.00</w:t>
                  </w:r>
                </w:p>
              </w:tc>
            </w:tr>
          </w:tbl>
          <w:p w14:paraId="6A5AB44D" w14:textId="77777777" w:rsidR="00B81E88" w:rsidRPr="00513BF0" w:rsidRDefault="00B81E88" w:rsidP="0071745C">
            <w:pPr>
              <w:pStyle w:val="TableParagraph"/>
              <w:ind w:left="80"/>
              <w:rPr>
                <w:rFonts w:cs="Times New Roman"/>
                <w:sz w:val="20"/>
                <w:szCs w:val="20"/>
              </w:rPr>
            </w:pPr>
          </w:p>
          <w:p w14:paraId="6F63B97E" w14:textId="0874F328" w:rsidR="00320443" w:rsidRDefault="00B81E88" w:rsidP="0071745C">
            <w:pPr>
              <w:pStyle w:val="TableParagraph"/>
              <w:ind w:left="80"/>
              <w:rPr>
                <w:rFonts w:cs="Times New Roman"/>
                <w:sz w:val="20"/>
                <w:szCs w:val="20"/>
              </w:rPr>
            </w:pPr>
            <w:r w:rsidRPr="00513BF0">
              <w:rPr>
                <w:rFonts w:cs="Times New Roman"/>
                <w:sz w:val="20"/>
                <w:szCs w:val="20"/>
              </w:rPr>
              <w:t xml:space="preserve">Annual spectrum fee (900MHz) </w:t>
            </w:r>
            <w:r w:rsidR="00320443">
              <w:tab/>
            </w:r>
            <w:r w:rsidR="00D55706">
              <w:rPr>
                <w:rFonts w:cs="Times New Roman"/>
                <w:sz w:val="20"/>
                <w:szCs w:val="20"/>
              </w:rPr>
              <w:t>12,290,940</w:t>
            </w:r>
          </w:p>
          <w:p w14:paraId="433DD314" w14:textId="4F121128" w:rsidR="00320443" w:rsidRDefault="00B81E88" w:rsidP="0071745C">
            <w:pPr>
              <w:pStyle w:val="TableParagraph"/>
              <w:ind w:left="80"/>
              <w:rPr>
                <w:rFonts w:cs="Times New Roman"/>
                <w:sz w:val="20"/>
                <w:szCs w:val="20"/>
              </w:rPr>
            </w:pPr>
            <w:r w:rsidRPr="00513BF0">
              <w:rPr>
                <w:rFonts w:cs="Times New Roman"/>
                <w:sz w:val="20"/>
                <w:szCs w:val="20"/>
              </w:rPr>
              <w:t xml:space="preserve">Annual spectrum fee (1800MHz) </w:t>
            </w:r>
            <w:r w:rsidR="00320443">
              <w:tab/>
            </w:r>
            <w:r w:rsidRPr="00513BF0">
              <w:rPr>
                <w:rFonts w:cs="Times New Roman"/>
                <w:sz w:val="20"/>
                <w:szCs w:val="20"/>
              </w:rPr>
              <w:t>46,470,375</w:t>
            </w:r>
          </w:p>
          <w:p w14:paraId="0946A6F0" w14:textId="14A7400E" w:rsidR="00320443" w:rsidRPr="00D55706" w:rsidRDefault="00320443" w:rsidP="0071745C">
            <w:pPr>
              <w:pStyle w:val="TableParagraph"/>
              <w:ind w:left="80"/>
              <w:rPr>
                <w:rFonts w:cs="Times New Roman"/>
                <w:sz w:val="20"/>
                <w:szCs w:val="20"/>
                <w:u w:val="single"/>
              </w:rPr>
            </w:pPr>
            <w:r w:rsidRPr="00D55706">
              <w:rPr>
                <w:rFonts w:cs="Times New Roman"/>
                <w:sz w:val="20"/>
                <w:szCs w:val="20"/>
                <w:u w:val="single"/>
              </w:rPr>
              <w:t>Annual spectrum fee (2100MHz)</w:t>
            </w:r>
            <w:r w:rsidRPr="00D55706">
              <w:rPr>
                <w:u w:val="single"/>
              </w:rPr>
              <w:t xml:space="preserve"> </w:t>
            </w:r>
            <w:r w:rsidRPr="00D55706">
              <w:rPr>
                <w:u w:val="single"/>
              </w:rPr>
              <w:tab/>
            </w:r>
            <w:r w:rsidR="00D55706">
              <w:rPr>
                <w:rFonts w:cs="Times New Roman"/>
                <w:sz w:val="20"/>
                <w:szCs w:val="20"/>
                <w:u w:val="single"/>
              </w:rPr>
              <w:t>15,174,000</w:t>
            </w:r>
          </w:p>
          <w:p w14:paraId="34C3D6F3" w14:textId="1356F020" w:rsidR="00B81E88" w:rsidRPr="00513BF0" w:rsidRDefault="00B81E88" w:rsidP="0071745C">
            <w:pPr>
              <w:pStyle w:val="TableParagraph"/>
              <w:ind w:left="80"/>
              <w:rPr>
                <w:rFonts w:cs="Times New Roman"/>
                <w:sz w:val="20"/>
                <w:szCs w:val="20"/>
              </w:rPr>
            </w:pPr>
            <w:r w:rsidRPr="00513BF0">
              <w:rPr>
                <w:rFonts w:cs="Times New Roman"/>
                <w:sz w:val="20"/>
                <w:szCs w:val="20"/>
              </w:rPr>
              <w:t>Total for RAN spectrum (new)</w:t>
            </w:r>
            <w:r w:rsidRPr="00513BF0">
              <w:rPr>
                <w:rFonts w:cs="Times New Roman"/>
                <w:sz w:val="20"/>
                <w:szCs w:val="20"/>
              </w:rPr>
              <w:tab/>
              <w:t>73,935,315</w:t>
            </w:r>
          </w:p>
          <w:p w14:paraId="5819EE1C" w14:textId="77777777" w:rsidR="00B81E88" w:rsidRPr="00513BF0" w:rsidRDefault="00B81E88" w:rsidP="0071745C">
            <w:pPr>
              <w:pStyle w:val="TableParagraph"/>
              <w:ind w:left="80"/>
              <w:rPr>
                <w:rFonts w:cs="Times New Roman"/>
                <w:sz w:val="20"/>
                <w:szCs w:val="20"/>
              </w:rPr>
            </w:pPr>
          </w:p>
          <w:p w14:paraId="75D08D19" w14:textId="77777777" w:rsidR="00B81E88" w:rsidRPr="00513BF0" w:rsidRDefault="00B81E88" w:rsidP="0071745C">
            <w:pPr>
              <w:pStyle w:val="TableParagraph"/>
              <w:ind w:left="80"/>
              <w:rPr>
                <w:rFonts w:cs="Times New Roman"/>
                <w:sz w:val="20"/>
                <w:szCs w:val="20"/>
              </w:rPr>
            </w:pPr>
            <w:r w:rsidRPr="00513BF0">
              <w:rPr>
                <w:rFonts w:cs="Times New Roman"/>
                <w:sz w:val="20"/>
                <w:szCs w:val="20"/>
              </w:rPr>
              <w:t>The proposed formula will thus result in an increase of 1632%. It is simply not feasible economically.</w:t>
            </w:r>
          </w:p>
          <w:p w14:paraId="5CC1EB9F" w14:textId="77777777" w:rsidR="00B81E88" w:rsidRPr="00513BF0" w:rsidRDefault="00B81E88" w:rsidP="0071745C">
            <w:pPr>
              <w:pStyle w:val="TableParagraph"/>
              <w:ind w:left="80"/>
              <w:rPr>
                <w:rFonts w:cs="Times New Roman"/>
                <w:sz w:val="20"/>
                <w:szCs w:val="20"/>
              </w:rPr>
            </w:pPr>
          </w:p>
          <w:p w14:paraId="1679100D" w14:textId="77777777" w:rsidR="00B81E88" w:rsidRPr="00513BF0" w:rsidRDefault="00B81E88" w:rsidP="00285FE7">
            <w:pPr>
              <w:pStyle w:val="TableParagraph"/>
              <w:ind w:left="80"/>
              <w:jc w:val="both"/>
              <w:rPr>
                <w:rFonts w:cs="Times New Roman"/>
                <w:sz w:val="20"/>
                <w:szCs w:val="20"/>
              </w:rPr>
            </w:pPr>
            <w:r w:rsidRPr="00513BF0">
              <w:rPr>
                <w:rFonts w:cs="Times New Roman"/>
                <w:sz w:val="20"/>
                <w:szCs w:val="20"/>
              </w:rPr>
              <w:t>An increase of 73% is equally unreasonable and cannot be justifies, which percentage is obtained by using a coverage factor of 3 instead of 30 and totaling the spectrum fee at N%7,393,531.50.</w:t>
            </w:r>
          </w:p>
          <w:p w14:paraId="3D697BAB" w14:textId="77777777" w:rsidR="00B81E88" w:rsidRPr="00513BF0" w:rsidRDefault="00B81E88" w:rsidP="0071745C">
            <w:pPr>
              <w:pStyle w:val="TableParagraph"/>
              <w:ind w:left="80"/>
              <w:rPr>
                <w:rFonts w:cs="Times New Roman"/>
                <w:sz w:val="20"/>
                <w:szCs w:val="20"/>
              </w:rPr>
            </w:pPr>
          </w:p>
          <w:p w14:paraId="157A1D46" w14:textId="08C1B4BD" w:rsidR="00D53EEC" w:rsidRPr="00513BF0" w:rsidRDefault="00B81E88" w:rsidP="00285FE7">
            <w:pPr>
              <w:pStyle w:val="TableParagraph"/>
              <w:ind w:left="80"/>
              <w:jc w:val="both"/>
              <w:rPr>
                <w:rFonts w:cs="Times New Roman"/>
                <w:sz w:val="20"/>
                <w:szCs w:val="20"/>
              </w:rPr>
            </w:pPr>
            <w:r w:rsidRPr="00513BF0">
              <w:rPr>
                <w:rFonts w:cs="Times New Roman"/>
                <w:sz w:val="20"/>
                <w:szCs w:val="20"/>
              </w:rPr>
              <w:t>Spectrum should be priced at a value commensurate to tis use and potential for revenue generation. The proposed increase is untenable and cannot be justified even by the objectives set by the proposed regulation.</w:t>
            </w:r>
            <w:r w:rsidR="00D53EEC" w:rsidRPr="00513BF0">
              <w:rPr>
                <w:rFonts w:cs="Times New Roman"/>
                <w:sz w:val="20"/>
                <w:szCs w:val="20"/>
              </w:rPr>
              <w:t xml:space="preserve"> </w:t>
            </w:r>
          </w:p>
          <w:p w14:paraId="0B0733F0" w14:textId="65F224C9" w:rsidR="00B81E88" w:rsidRPr="00513BF0" w:rsidRDefault="00B81E88" w:rsidP="0071745C">
            <w:pPr>
              <w:pStyle w:val="TableParagraph"/>
              <w:ind w:left="80"/>
              <w:rPr>
                <w:rFonts w:cs="Times New Roman"/>
                <w:sz w:val="20"/>
                <w:szCs w:val="20"/>
              </w:rPr>
            </w:pPr>
          </w:p>
          <w:p w14:paraId="2E604166" w14:textId="78BEE862" w:rsidR="00B81E88" w:rsidRPr="00513BF0" w:rsidRDefault="00B81E88" w:rsidP="00285FE7">
            <w:pPr>
              <w:pStyle w:val="TableParagraph"/>
              <w:ind w:left="80"/>
              <w:jc w:val="both"/>
              <w:rPr>
                <w:rFonts w:cs="Times New Roman"/>
                <w:sz w:val="20"/>
                <w:szCs w:val="20"/>
              </w:rPr>
            </w:pPr>
            <w:r w:rsidRPr="00513BF0">
              <w:rPr>
                <w:rFonts w:cs="Times New Roman"/>
                <w:sz w:val="20"/>
                <w:szCs w:val="20"/>
              </w:rPr>
              <w:t>The proposed formula for point-to—multipoint does not cover a scenario that is used by MTC currently. MTC uses this technology to connect multiple customers from a specific sector on the tower. A point-to-multipoint sector has a limitation of the number of customers it can connect. It is not about the coverage, but about the capacity it has.</w:t>
            </w:r>
            <w:r w:rsidR="00D53EEC" w:rsidRPr="00513BF0">
              <w:rPr>
                <w:rFonts w:cs="Times New Roman"/>
                <w:sz w:val="20"/>
                <w:szCs w:val="20"/>
              </w:rPr>
              <w:t xml:space="preserve"> </w:t>
            </w:r>
          </w:p>
        </w:tc>
        <w:tc>
          <w:tcPr>
            <w:tcW w:w="4536" w:type="dxa"/>
          </w:tcPr>
          <w:p w14:paraId="1B82A16A" w14:textId="7D771F91" w:rsidR="006652A6" w:rsidRPr="00513BF0" w:rsidRDefault="00B81E88" w:rsidP="00285FE7">
            <w:pPr>
              <w:pStyle w:val="TableParagraph"/>
              <w:ind w:left="80"/>
              <w:jc w:val="both"/>
              <w:rPr>
                <w:rFonts w:cs="Times New Roman"/>
                <w:sz w:val="20"/>
                <w:szCs w:val="20"/>
              </w:rPr>
            </w:pPr>
            <w:r w:rsidRPr="00513BF0">
              <w:rPr>
                <w:rFonts w:cs="Times New Roman"/>
                <w:sz w:val="20"/>
                <w:szCs w:val="20"/>
              </w:rPr>
              <w:t>The Authori</w:t>
            </w:r>
            <w:r>
              <w:rPr>
                <w:sz w:val="20"/>
                <w:szCs w:val="20"/>
              </w:rPr>
              <w:t xml:space="preserve">ty is of the view that MTC did </w:t>
            </w:r>
            <w:r w:rsidRPr="00513BF0">
              <w:rPr>
                <w:rFonts w:cs="Times New Roman"/>
                <w:sz w:val="20"/>
                <w:szCs w:val="20"/>
              </w:rPr>
              <w:t>not apply the formula correctly. It seems MTC is under the mistaken belief that the Authority is charging spectrum fees on a monthly basis. This is not the case.</w:t>
            </w:r>
            <w:r w:rsidR="006652A6" w:rsidRPr="00513BF0">
              <w:rPr>
                <w:rFonts w:cs="Times New Roman"/>
                <w:sz w:val="20"/>
                <w:szCs w:val="20"/>
              </w:rPr>
              <w:t xml:space="preserve"> </w:t>
            </w:r>
          </w:p>
          <w:p w14:paraId="26421B37" w14:textId="77777777" w:rsidR="006652A6" w:rsidRPr="00513BF0" w:rsidRDefault="006652A6" w:rsidP="006652A6">
            <w:pPr>
              <w:pStyle w:val="TableParagraph"/>
              <w:ind w:left="80"/>
              <w:rPr>
                <w:rFonts w:cs="Times New Roman"/>
                <w:sz w:val="20"/>
                <w:szCs w:val="20"/>
              </w:rPr>
            </w:pPr>
          </w:p>
          <w:p w14:paraId="37E273B8" w14:textId="666CCCA3" w:rsidR="006652A6" w:rsidRPr="00513BF0" w:rsidRDefault="00B81E88" w:rsidP="00285FE7">
            <w:pPr>
              <w:pStyle w:val="TableParagraph"/>
              <w:ind w:left="80"/>
              <w:jc w:val="both"/>
              <w:rPr>
                <w:rFonts w:cs="Times New Roman"/>
                <w:sz w:val="20"/>
                <w:szCs w:val="20"/>
              </w:rPr>
            </w:pPr>
            <w:r w:rsidRPr="00513BF0">
              <w:rPr>
                <w:rFonts w:cs="Times New Roman"/>
                <w:sz w:val="20"/>
                <w:szCs w:val="20"/>
              </w:rPr>
              <w:t>The correct application of the formula is that the annual spectrum fee for mobile services as per spectrum licence a</w:t>
            </w:r>
            <w:r w:rsidR="00285FE7">
              <w:rPr>
                <w:rFonts w:cs="Times New Roman"/>
                <w:sz w:val="20"/>
                <w:szCs w:val="20"/>
              </w:rPr>
              <w:t>warded to MTC will amount to N$ </w:t>
            </w:r>
            <w:r w:rsidRPr="00513BF0">
              <w:rPr>
                <w:rFonts w:cs="Times New Roman"/>
                <w:sz w:val="20"/>
                <w:szCs w:val="20"/>
              </w:rPr>
              <w:t>5,538,510 per annum and not N$73,935,315 as shown in MTC’s comments.</w:t>
            </w:r>
            <w:r w:rsidR="006652A6" w:rsidRPr="00513BF0">
              <w:rPr>
                <w:rFonts w:cs="Times New Roman"/>
                <w:sz w:val="20"/>
                <w:szCs w:val="20"/>
              </w:rPr>
              <w:t xml:space="preserve"> </w:t>
            </w:r>
          </w:p>
          <w:p w14:paraId="0D9798C7" w14:textId="77777777" w:rsidR="006652A6" w:rsidRPr="00513BF0" w:rsidRDefault="006652A6" w:rsidP="00285FE7">
            <w:pPr>
              <w:pStyle w:val="TableParagraph"/>
              <w:ind w:left="80"/>
              <w:jc w:val="both"/>
              <w:rPr>
                <w:rFonts w:cs="Times New Roman"/>
                <w:sz w:val="20"/>
                <w:szCs w:val="20"/>
              </w:rPr>
            </w:pPr>
          </w:p>
          <w:p w14:paraId="477A90FC" w14:textId="66A508A7" w:rsidR="006652A6" w:rsidRDefault="00B81E88" w:rsidP="00285FE7">
            <w:pPr>
              <w:pStyle w:val="TableParagraph"/>
              <w:ind w:left="80"/>
              <w:jc w:val="both"/>
              <w:rPr>
                <w:rFonts w:cs="Times New Roman"/>
                <w:sz w:val="20"/>
                <w:szCs w:val="20"/>
              </w:rPr>
            </w:pPr>
            <w:r w:rsidRPr="00513BF0">
              <w:rPr>
                <w:rFonts w:cs="Times New Roman"/>
                <w:sz w:val="20"/>
                <w:szCs w:val="20"/>
              </w:rPr>
              <w:t>The remainder of the comments by MTC are similarly based on the incorrect application of the formula.</w:t>
            </w:r>
            <w:r w:rsidR="006652A6" w:rsidRPr="00513BF0">
              <w:rPr>
                <w:rFonts w:cs="Times New Roman"/>
                <w:sz w:val="20"/>
                <w:szCs w:val="20"/>
              </w:rPr>
              <w:t xml:space="preserve"> </w:t>
            </w:r>
          </w:p>
          <w:p w14:paraId="6449D099" w14:textId="77777777" w:rsidR="00285FE7" w:rsidRPr="00513BF0" w:rsidRDefault="00285FE7" w:rsidP="00285FE7">
            <w:pPr>
              <w:pStyle w:val="TableParagraph"/>
              <w:ind w:left="80"/>
              <w:jc w:val="both"/>
              <w:rPr>
                <w:rFonts w:cs="Times New Roman"/>
                <w:sz w:val="20"/>
                <w:szCs w:val="20"/>
              </w:rPr>
            </w:pPr>
          </w:p>
          <w:p w14:paraId="58BCC4BB" w14:textId="5CD418A4" w:rsidR="006652A6" w:rsidRPr="00513BF0" w:rsidRDefault="00B81E88" w:rsidP="00285FE7">
            <w:pPr>
              <w:pStyle w:val="TableParagraph"/>
              <w:ind w:left="80"/>
              <w:jc w:val="both"/>
              <w:rPr>
                <w:rFonts w:cs="Times New Roman"/>
                <w:sz w:val="20"/>
                <w:szCs w:val="20"/>
              </w:rPr>
            </w:pPr>
            <w:r w:rsidRPr="00513BF0">
              <w:rPr>
                <w:rFonts w:cs="Times New Roman"/>
                <w:sz w:val="20"/>
                <w:szCs w:val="20"/>
              </w:rPr>
              <w:t>Spectrum fees for fixed services are based on the bandwidth assigned to the licensee as well as the geographical area, within which the licensee may utilize spectrum. In the case of MTC, it is assigned for national use within the borders of Namibia. MTC may also re-use the</w:t>
            </w:r>
            <w:r>
              <w:rPr>
                <w:sz w:val="20"/>
                <w:szCs w:val="20"/>
              </w:rPr>
              <w:t xml:space="preserve"> same frequencies in different </w:t>
            </w:r>
            <w:r w:rsidRPr="00513BF0">
              <w:rPr>
                <w:rFonts w:cs="Times New Roman"/>
                <w:sz w:val="20"/>
                <w:szCs w:val="20"/>
              </w:rPr>
              <w:t>geographical areas within the borders of the Republic of Namibia without incurring additional spectrum fees.</w:t>
            </w:r>
            <w:r w:rsidR="006652A6" w:rsidRPr="00513BF0">
              <w:rPr>
                <w:rFonts w:cs="Times New Roman"/>
                <w:sz w:val="20"/>
                <w:szCs w:val="20"/>
              </w:rPr>
              <w:t xml:space="preserve"> </w:t>
            </w:r>
          </w:p>
          <w:p w14:paraId="7FD05D20" w14:textId="77777777" w:rsidR="006652A6" w:rsidRPr="00513BF0" w:rsidRDefault="006652A6" w:rsidP="006652A6">
            <w:pPr>
              <w:pStyle w:val="TableParagraph"/>
              <w:ind w:left="80"/>
              <w:rPr>
                <w:rFonts w:cs="Times New Roman"/>
                <w:sz w:val="20"/>
                <w:szCs w:val="20"/>
              </w:rPr>
            </w:pPr>
          </w:p>
          <w:p w14:paraId="37F9E009" w14:textId="0E5E048F" w:rsidR="00B81E88" w:rsidRPr="00513BF0" w:rsidRDefault="00B81E88" w:rsidP="00285FE7">
            <w:pPr>
              <w:pStyle w:val="TableParagraph"/>
              <w:ind w:left="80"/>
              <w:jc w:val="both"/>
              <w:rPr>
                <w:rFonts w:cs="Times New Roman"/>
                <w:sz w:val="20"/>
                <w:szCs w:val="20"/>
              </w:rPr>
            </w:pPr>
            <w:r w:rsidRPr="00513BF0">
              <w:rPr>
                <w:rFonts w:cs="Times New Roman"/>
                <w:sz w:val="20"/>
                <w:szCs w:val="20"/>
              </w:rPr>
              <w:t>Spectrum</w:t>
            </w:r>
            <w:r>
              <w:rPr>
                <w:sz w:val="20"/>
                <w:szCs w:val="20"/>
              </w:rPr>
              <w:t xml:space="preserve"> fees are thus not based on a case by case  scenario of</w:t>
            </w:r>
            <w:r w:rsidRPr="00513BF0">
              <w:rPr>
                <w:rFonts w:cs="Times New Roman"/>
                <w:sz w:val="20"/>
                <w:szCs w:val="20"/>
              </w:rPr>
              <w:t xml:space="preserve"> implementati</w:t>
            </w:r>
            <w:r>
              <w:rPr>
                <w:sz w:val="20"/>
                <w:szCs w:val="20"/>
              </w:rPr>
              <w:t xml:space="preserve">on carried out </w:t>
            </w:r>
            <w:r w:rsidRPr="00513BF0">
              <w:rPr>
                <w:rFonts w:cs="Times New Roman"/>
                <w:sz w:val="20"/>
                <w:szCs w:val="20"/>
              </w:rPr>
              <w:t>by the Licensee. The choice of technology and implementation thereof is at the discretion of the Licensee.</w:t>
            </w:r>
          </w:p>
        </w:tc>
      </w:tr>
      <w:tr w:rsidR="00B81E88" w:rsidRPr="00513BF0" w14:paraId="3B1E3BF9" w14:textId="77777777" w:rsidTr="00B865C8">
        <w:trPr>
          <w:trHeight w:val="1306"/>
        </w:trPr>
        <w:tc>
          <w:tcPr>
            <w:tcW w:w="4111" w:type="dxa"/>
          </w:tcPr>
          <w:p w14:paraId="176535F8" w14:textId="77777777" w:rsidR="00B81E88" w:rsidRPr="00513BF0" w:rsidRDefault="00B81E88" w:rsidP="0071745C">
            <w:pPr>
              <w:pStyle w:val="TableParagraph"/>
              <w:ind w:left="80"/>
              <w:rPr>
                <w:rFonts w:cs="Times New Roman"/>
                <w:b/>
                <w:sz w:val="20"/>
                <w:szCs w:val="20"/>
                <w:u w:val="single"/>
              </w:rPr>
            </w:pPr>
            <w:r w:rsidRPr="00513BF0">
              <w:rPr>
                <w:rFonts w:cs="Times New Roman"/>
                <w:b/>
                <w:sz w:val="20"/>
                <w:szCs w:val="20"/>
                <w:u w:val="single"/>
              </w:rPr>
              <w:t>Ad table 4 – Coverage Factor</w:t>
            </w:r>
          </w:p>
          <w:p w14:paraId="20D42743" w14:textId="77777777" w:rsidR="00B81E88" w:rsidRPr="00513BF0" w:rsidRDefault="00B81E88" w:rsidP="0071745C">
            <w:pPr>
              <w:pStyle w:val="TableParagraph"/>
              <w:ind w:left="80"/>
              <w:rPr>
                <w:rFonts w:cs="Times New Roman"/>
                <w:sz w:val="20"/>
                <w:szCs w:val="20"/>
              </w:rPr>
            </w:pPr>
          </w:p>
          <w:p w14:paraId="05F309B7" w14:textId="5564CF88" w:rsidR="00B81E88" w:rsidRPr="00513BF0" w:rsidRDefault="00B81E88" w:rsidP="00D53EEC">
            <w:pPr>
              <w:pStyle w:val="TableParagraph"/>
              <w:ind w:left="80"/>
              <w:rPr>
                <w:rFonts w:cs="Times New Roman"/>
                <w:sz w:val="20"/>
                <w:szCs w:val="20"/>
              </w:rPr>
            </w:pPr>
            <w:r w:rsidRPr="00513BF0">
              <w:rPr>
                <w:rFonts w:cs="Times New Roman"/>
                <w:sz w:val="20"/>
                <w:szCs w:val="20"/>
              </w:rPr>
              <w:t>Kindly advise what informed the Authority’s decision on a factor of 30 for National network. This discrepancy between coverage factor 3 and coverage factor 30 is rather great, which has significant cost impact on a dominant operator.</w:t>
            </w:r>
            <w:r w:rsidR="00D53EEC" w:rsidRPr="00513BF0">
              <w:rPr>
                <w:rFonts w:cs="Times New Roman"/>
                <w:sz w:val="20"/>
                <w:szCs w:val="20"/>
              </w:rPr>
              <w:t xml:space="preserve"> </w:t>
            </w:r>
          </w:p>
        </w:tc>
        <w:tc>
          <w:tcPr>
            <w:tcW w:w="4536" w:type="dxa"/>
          </w:tcPr>
          <w:p w14:paraId="57C852D3" w14:textId="0E2494D6" w:rsidR="00B81E88" w:rsidRPr="00513BF0" w:rsidRDefault="00B81E88" w:rsidP="00285FE7">
            <w:pPr>
              <w:pStyle w:val="TableParagraph"/>
              <w:ind w:left="80"/>
              <w:jc w:val="both"/>
              <w:rPr>
                <w:rFonts w:cs="Times New Roman"/>
                <w:sz w:val="20"/>
                <w:szCs w:val="20"/>
              </w:rPr>
            </w:pPr>
            <w:r w:rsidRPr="00513BF0">
              <w:rPr>
                <w:rFonts w:cs="Times New Roman"/>
                <w:sz w:val="20"/>
                <w:szCs w:val="20"/>
              </w:rPr>
              <w:t>The coverage factor is not based on classification of a licensee as being dominant. The coverage area refers to the geographical area within which a licensee may provide services utilising the assigned spectrum. Spectrum assigned on a national basis thus authorises a licensee t</w:t>
            </w:r>
            <w:r>
              <w:rPr>
                <w:sz w:val="20"/>
                <w:szCs w:val="20"/>
              </w:rPr>
              <w:t xml:space="preserve">o provide services anywhere within </w:t>
            </w:r>
            <w:r w:rsidRPr="00513BF0">
              <w:rPr>
                <w:rFonts w:cs="Times New Roman"/>
                <w:sz w:val="20"/>
                <w:szCs w:val="20"/>
              </w:rPr>
              <w:t>the borders of the Republic of Namibia, with no restriction on the number of customers from which it generates revenue, whilst spectrum assigned within a specific geographical area e.g. between 5km</w:t>
            </w:r>
            <w:r w:rsidRPr="00513BF0">
              <w:rPr>
                <w:rFonts w:cs="Times New Roman"/>
                <w:sz w:val="20"/>
                <w:szCs w:val="20"/>
                <w:vertAlign w:val="superscript"/>
              </w:rPr>
              <w:t>2</w:t>
            </w:r>
            <w:r w:rsidRPr="00513BF0">
              <w:rPr>
                <w:rFonts w:cs="Times New Roman"/>
                <w:sz w:val="20"/>
                <w:szCs w:val="20"/>
              </w:rPr>
              <w:t xml:space="preserve"> and 600 km</w:t>
            </w:r>
            <w:r w:rsidRPr="00513BF0">
              <w:rPr>
                <w:rFonts w:cs="Times New Roman"/>
                <w:sz w:val="20"/>
                <w:szCs w:val="20"/>
                <w:vertAlign w:val="superscript"/>
              </w:rPr>
              <w:t>2</w:t>
            </w:r>
            <w:r w:rsidRPr="00513BF0">
              <w:rPr>
                <w:rFonts w:cs="Times New Roman"/>
                <w:sz w:val="20"/>
                <w:szCs w:val="20"/>
              </w:rPr>
              <w:t xml:space="preserve"> authorised the licensee to provide service only within that specific area e.g. a community network.</w:t>
            </w:r>
            <w:r w:rsidR="006652A6" w:rsidRPr="00513BF0">
              <w:rPr>
                <w:rFonts w:cs="Times New Roman"/>
                <w:sz w:val="20"/>
                <w:szCs w:val="20"/>
              </w:rPr>
              <w:t xml:space="preserve"> </w:t>
            </w:r>
          </w:p>
        </w:tc>
      </w:tr>
      <w:tr w:rsidR="00B81E88" w:rsidRPr="00513BF0" w14:paraId="45F186F6" w14:textId="77777777" w:rsidTr="00B865C8">
        <w:trPr>
          <w:trHeight w:val="1306"/>
        </w:trPr>
        <w:tc>
          <w:tcPr>
            <w:tcW w:w="4111" w:type="dxa"/>
          </w:tcPr>
          <w:p w14:paraId="11EF98B3" w14:textId="77777777" w:rsidR="00B81E88" w:rsidRPr="00513BF0" w:rsidRDefault="00B81E88" w:rsidP="0071745C">
            <w:pPr>
              <w:pStyle w:val="TableParagraph"/>
              <w:ind w:left="80"/>
              <w:rPr>
                <w:rFonts w:cs="Times New Roman"/>
                <w:b/>
                <w:sz w:val="20"/>
                <w:szCs w:val="20"/>
              </w:rPr>
            </w:pPr>
            <w:r w:rsidRPr="00513BF0">
              <w:rPr>
                <w:rFonts w:cs="Times New Roman"/>
                <w:b/>
                <w:sz w:val="20"/>
                <w:szCs w:val="20"/>
                <w:u w:val="single"/>
              </w:rPr>
              <w:t>Ad table 5 – Sharing Factor</w:t>
            </w:r>
          </w:p>
          <w:p w14:paraId="2FC1CB51" w14:textId="77777777" w:rsidR="00B81E88" w:rsidRPr="00513BF0" w:rsidRDefault="00B81E88" w:rsidP="0071745C">
            <w:pPr>
              <w:pStyle w:val="TableParagraph"/>
              <w:ind w:left="80"/>
              <w:rPr>
                <w:rFonts w:cs="Times New Roman"/>
                <w:sz w:val="20"/>
                <w:szCs w:val="20"/>
              </w:rPr>
            </w:pPr>
          </w:p>
          <w:p w14:paraId="38A1B66C" w14:textId="5563875C" w:rsidR="00B81E88" w:rsidRPr="00513BF0" w:rsidRDefault="00B81E88" w:rsidP="00285FE7">
            <w:pPr>
              <w:pStyle w:val="TableParagraph"/>
              <w:ind w:left="80"/>
              <w:jc w:val="both"/>
              <w:rPr>
                <w:rFonts w:cs="Times New Roman"/>
                <w:sz w:val="20"/>
                <w:szCs w:val="20"/>
              </w:rPr>
            </w:pPr>
            <w:r w:rsidRPr="00513BF0">
              <w:rPr>
                <w:rFonts w:cs="Times New Roman"/>
                <w:sz w:val="20"/>
                <w:szCs w:val="20"/>
              </w:rPr>
              <w:t>In the absence of express definitions for the words- “exclusive” and “shared”, one is left to use their normal meaning. It is not certain what the Authority’s intention is with the term “sharing” as it could include shared roaming or MVNO. Clarity is required in this regard.</w:t>
            </w:r>
            <w:r w:rsidR="00D53EEC" w:rsidRPr="00513BF0">
              <w:rPr>
                <w:rFonts w:cs="Times New Roman"/>
                <w:sz w:val="20"/>
                <w:szCs w:val="20"/>
              </w:rPr>
              <w:t xml:space="preserve"> </w:t>
            </w:r>
          </w:p>
        </w:tc>
        <w:tc>
          <w:tcPr>
            <w:tcW w:w="4536" w:type="dxa"/>
          </w:tcPr>
          <w:p w14:paraId="5978D552" w14:textId="0B9C9065" w:rsidR="006652A6" w:rsidRPr="00513BF0" w:rsidRDefault="00B81E88" w:rsidP="00285FE7">
            <w:pPr>
              <w:pStyle w:val="TableParagraph"/>
              <w:ind w:left="80"/>
              <w:jc w:val="both"/>
              <w:rPr>
                <w:rFonts w:cs="Times New Roman"/>
                <w:sz w:val="20"/>
                <w:szCs w:val="20"/>
              </w:rPr>
            </w:pPr>
            <w:r w:rsidRPr="00513BF0">
              <w:rPr>
                <w:rFonts w:cs="Times New Roman"/>
                <w:sz w:val="20"/>
                <w:szCs w:val="20"/>
              </w:rPr>
              <w:t>The Authority’s definition of the words ‘exclusive” and “shared” is based on the Oxford Dictionary.</w:t>
            </w:r>
            <w:r w:rsidR="006652A6" w:rsidRPr="00513BF0">
              <w:rPr>
                <w:rFonts w:cs="Times New Roman"/>
                <w:sz w:val="20"/>
                <w:szCs w:val="20"/>
              </w:rPr>
              <w:t xml:space="preserve"> </w:t>
            </w:r>
          </w:p>
          <w:p w14:paraId="66174ECA" w14:textId="67203407" w:rsidR="00B81E88" w:rsidRPr="00513BF0" w:rsidRDefault="00B81E88" w:rsidP="0071745C">
            <w:pPr>
              <w:pStyle w:val="TableParagraph"/>
              <w:spacing w:before="27"/>
              <w:ind w:right="69"/>
              <w:jc w:val="both"/>
              <w:rPr>
                <w:rFonts w:cs="Times New Roman"/>
                <w:sz w:val="20"/>
                <w:szCs w:val="20"/>
              </w:rPr>
            </w:pPr>
          </w:p>
          <w:p w14:paraId="3251A3A1" w14:textId="51B35B9A" w:rsidR="006652A6" w:rsidRDefault="00B81E88" w:rsidP="006652A6">
            <w:pPr>
              <w:pStyle w:val="TableParagraph"/>
              <w:ind w:left="80"/>
              <w:rPr>
                <w:rFonts w:cs="Times New Roman"/>
                <w:sz w:val="20"/>
                <w:szCs w:val="20"/>
              </w:rPr>
            </w:pPr>
            <w:r w:rsidRPr="00513BF0">
              <w:rPr>
                <w:rFonts w:cs="Times New Roman"/>
                <w:sz w:val="20"/>
                <w:szCs w:val="20"/>
              </w:rPr>
              <w:t>For clarity in as far as the words applies to spectrum use-</w:t>
            </w:r>
          </w:p>
          <w:p w14:paraId="68CE0267" w14:textId="77777777" w:rsidR="00285FE7" w:rsidRPr="00513BF0" w:rsidRDefault="00285FE7" w:rsidP="006652A6">
            <w:pPr>
              <w:pStyle w:val="TableParagraph"/>
              <w:ind w:left="80"/>
              <w:rPr>
                <w:rFonts w:cs="Times New Roman"/>
                <w:sz w:val="20"/>
                <w:szCs w:val="20"/>
              </w:rPr>
            </w:pPr>
          </w:p>
          <w:p w14:paraId="749CBF6E" w14:textId="2BD7B385" w:rsidR="00B81E88" w:rsidRPr="00285FE7" w:rsidRDefault="00B81E88" w:rsidP="00285FE7">
            <w:pPr>
              <w:pStyle w:val="TableParagraph"/>
              <w:widowControl w:val="0"/>
              <w:numPr>
                <w:ilvl w:val="0"/>
                <w:numId w:val="29"/>
              </w:numPr>
              <w:autoSpaceDE w:val="0"/>
              <w:autoSpaceDN w:val="0"/>
              <w:spacing w:before="27"/>
              <w:ind w:right="69"/>
              <w:jc w:val="both"/>
              <w:rPr>
                <w:sz w:val="20"/>
                <w:szCs w:val="20"/>
              </w:rPr>
            </w:pPr>
            <w:r w:rsidRPr="00513BF0">
              <w:rPr>
                <w:rFonts w:cs="Times New Roman"/>
                <w:sz w:val="20"/>
                <w:szCs w:val="20"/>
              </w:rPr>
              <w:t xml:space="preserve">Exclusive” means that the spectrum license is award for the </w:t>
            </w:r>
            <w:r w:rsidRPr="00513BF0">
              <w:rPr>
                <w:rFonts w:cs="Times New Roman"/>
                <w:sz w:val="20"/>
                <w:szCs w:val="20"/>
                <w:u w:val="single"/>
              </w:rPr>
              <w:t>sole use</w:t>
            </w:r>
            <w:r w:rsidRPr="00513BF0">
              <w:rPr>
                <w:rFonts w:cs="Times New Roman"/>
                <w:sz w:val="20"/>
                <w:szCs w:val="20"/>
              </w:rPr>
              <w:t xml:space="preserve"> of a single licensee within the geographical area set out in the spectrum licence. as in the case of MTC.</w:t>
            </w:r>
          </w:p>
          <w:p w14:paraId="0D0ECE42" w14:textId="77777777" w:rsidR="00285FE7" w:rsidRDefault="00285FE7" w:rsidP="00285FE7">
            <w:pPr>
              <w:pStyle w:val="TableParagraph"/>
              <w:widowControl w:val="0"/>
              <w:autoSpaceDE w:val="0"/>
              <w:autoSpaceDN w:val="0"/>
              <w:spacing w:before="27"/>
              <w:ind w:left="800" w:right="69"/>
              <w:jc w:val="both"/>
              <w:rPr>
                <w:sz w:val="20"/>
                <w:szCs w:val="20"/>
              </w:rPr>
            </w:pPr>
          </w:p>
          <w:p w14:paraId="3C68CD42" w14:textId="77777777" w:rsidR="00B81E88" w:rsidRPr="00513BF0" w:rsidRDefault="00B81E88" w:rsidP="00285FE7">
            <w:pPr>
              <w:pStyle w:val="TableParagraph"/>
              <w:widowControl w:val="0"/>
              <w:numPr>
                <w:ilvl w:val="0"/>
                <w:numId w:val="29"/>
              </w:numPr>
              <w:autoSpaceDE w:val="0"/>
              <w:autoSpaceDN w:val="0"/>
              <w:spacing w:before="27"/>
              <w:ind w:right="69"/>
              <w:jc w:val="both"/>
              <w:rPr>
                <w:rFonts w:cs="Times New Roman"/>
                <w:sz w:val="20"/>
                <w:szCs w:val="20"/>
              </w:rPr>
            </w:pPr>
            <w:r w:rsidRPr="00513BF0">
              <w:rPr>
                <w:rFonts w:cs="Times New Roman"/>
                <w:sz w:val="20"/>
                <w:szCs w:val="20"/>
              </w:rPr>
              <w:t>Shared” means the specific frequencies is awarded to more than one licensee albeit in different geographical areas or tiered licensing of spectrum allowing for use of different services in the same spectrum band as set out in the frequency band plan</w:t>
            </w:r>
          </w:p>
          <w:p w14:paraId="5CA55DCA" w14:textId="77777777" w:rsidR="006652A6" w:rsidRPr="00513BF0" w:rsidRDefault="006652A6" w:rsidP="006652A6">
            <w:pPr>
              <w:pStyle w:val="TableParagraph"/>
              <w:ind w:left="80"/>
              <w:rPr>
                <w:rFonts w:cs="Times New Roman"/>
                <w:sz w:val="20"/>
                <w:szCs w:val="20"/>
              </w:rPr>
            </w:pPr>
          </w:p>
          <w:p w14:paraId="4C7138C4" w14:textId="77777777" w:rsidR="00B81E88" w:rsidRDefault="00B81E88" w:rsidP="00285FE7">
            <w:pPr>
              <w:pStyle w:val="TableParagraph"/>
              <w:ind w:left="80"/>
              <w:jc w:val="both"/>
              <w:rPr>
                <w:rFonts w:cs="Times New Roman"/>
                <w:sz w:val="20"/>
                <w:szCs w:val="20"/>
              </w:rPr>
            </w:pPr>
            <w:r w:rsidRPr="00513BF0">
              <w:rPr>
                <w:rFonts w:cs="Times New Roman"/>
                <w:sz w:val="20"/>
                <w:szCs w:val="20"/>
              </w:rPr>
              <w:t xml:space="preserve">National roaming and </w:t>
            </w:r>
            <w:r>
              <w:rPr>
                <w:sz w:val="20"/>
                <w:szCs w:val="20"/>
              </w:rPr>
              <w:t>MVNO’s</w:t>
            </w:r>
            <w:r w:rsidRPr="00513BF0">
              <w:rPr>
                <w:rFonts w:cs="Times New Roman"/>
                <w:sz w:val="20"/>
                <w:szCs w:val="20"/>
              </w:rPr>
              <w:t xml:space="preserve"> </w:t>
            </w:r>
            <w:r>
              <w:rPr>
                <w:sz w:val="20"/>
                <w:szCs w:val="20"/>
              </w:rPr>
              <w:t xml:space="preserve">have no </w:t>
            </w:r>
            <w:r w:rsidRPr="00513BF0">
              <w:rPr>
                <w:rFonts w:cs="Times New Roman"/>
                <w:sz w:val="20"/>
                <w:szCs w:val="20"/>
              </w:rPr>
              <w:t>bearing on spectrum regulations but is addressed in the Authority’s infrast</w:t>
            </w:r>
            <w:r>
              <w:rPr>
                <w:sz w:val="20"/>
                <w:szCs w:val="20"/>
              </w:rPr>
              <w:t xml:space="preserve">ructure sharing regulations in </w:t>
            </w:r>
            <w:r w:rsidRPr="00513BF0">
              <w:rPr>
                <w:rFonts w:cs="Times New Roman"/>
                <w:sz w:val="20"/>
                <w:szCs w:val="20"/>
              </w:rPr>
              <w:t>that both constitutes forms of active infrastructure sharing</w:t>
            </w:r>
            <w:r w:rsidR="00285FE7">
              <w:rPr>
                <w:rFonts w:cs="Times New Roman"/>
                <w:sz w:val="20"/>
                <w:szCs w:val="20"/>
              </w:rPr>
              <w:t>.</w:t>
            </w:r>
          </w:p>
          <w:p w14:paraId="0F86EAFC" w14:textId="66330777" w:rsidR="00F263E0" w:rsidRPr="00513BF0" w:rsidRDefault="00F263E0" w:rsidP="00F263E0">
            <w:pPr>
              <w:pStyle w:val="REG-Amend"/>
            </w:pPr>
          </w:p>
        </w:tc>
      </w:tr>
    </w:tbl>
    <w:p w14:paraId="5DD354CC" w14:textId="2C33128B" w:rsidR="00B81E88" w:rsidRDefault="00B81E88" w:rsidP="00B865C8">
      <w:pPr>
        <w:pStyle w:val="BodyText"/>
        <w:spacing w:before="6"/>
        <w:ind w:left="0"/>
        <w:rPr>
          <w:rFonts w:cs="Times New Roman"/>
          <w:sz w:val="20"/>
          <w:szCs w:val="20"/>
        </w:rPr>
      </w:pPr>
    </w:p>
    <w:p w14:paraId="3A3E4180" w14:textId="77777777" w:rsidR="00857942" w:rsidRPr="003F3FAB" w:rsidRDefault="00857942" w:rsidP="00857942">
      <w:pPr>
        <w:autoSpaceDE w:val="0"/>
        <w:autoSpaceDN w:val="0"/>
        <w:adjustRightInd w:val="0"/>
        <w:jc w:val="center"/>
        <w:rPr>
          <w:rFonts w:ascii="TimesNewRomanPS-BoldMT" w:hAnsi="TimesNewRomanPS-BoldMT" w:cs="TimesNewRomanPS-BoldMT"/>
          <w:b/>
          <w:bCs/>
          <w:noProof w:val="0"/>
          <w:lang w:val="en-ZA"/>
        </w:rPr>
      </w:pPr>
      <w:r>
        <w:rPr>
          <w:rFonts w:cs="Times New Roman"/>
          <w:sz w:val="20"/>
          <w:szCs w:val="20"/>
        </w:rPr>
        <w:br w:type="column"/>
      </w:r>
      <w:r w:rsidRPr="003F3FAB">
        <w:rPr>
          <w:rFonts w:ascii="TimesNewRomanPS-BoldMT" w:hAnsi="TimesNewRomanPS-BoldMT" w:cs="TimesNewRomanPS-BoldMT"/>
          <w:b/>
          <w:bCs/>
          <w:noProof w:val="0"/>
          <w:lang w:val="en-ZA"/>
        </w:rPr>
        <w:t>ANNEXURE A</w:t>
      </w:r>
    </w:p>
    <w:p w14:paraId="0163AC29" w14:textId="2376979B" w:rsidR="00857942" w:rsidRDefault="00857942" w:rsidP="00857942">
      <w:pPr>
        <w:autoSpaceDE w:val="0"/>
        <w:autoSpaceDN w:val="0"/>
        <w:adjustRightInd w:val="0"/>
        <w:jc w:val="center"/>
        <w:rPr>
          <w:rFonts w:ascii="TimesNewRomanPS-BoldMT" w:hAnsi="TimesNewRomanPS-BoldMT" w:cs="TimesNewRomanPS-BoldMT"/>
          <w:b/>
          <w:bCs/>
          <w:noProof w:val="0"/>
          <w:lang w:val="en-ZA"/>
        </w:rPr>
      </w:pPr>
    </w:p>
    <w:p w14:paraId="32EB9287" w14:textId="63142EF0" w:rsidR="00E710B8" w:rsidRDefault="00E710B8" w:rsidP="0095228D">
      <w:pPr>
        <w:pStyle w:val="REG-Amend"/>
      </w:pPr>
      <w:r>
        <w:t xml:space="preserve">[This Annexure A is contained in </w:t>
      </w:r>
      <w:r w:rsidRPr="00523476">
        <w:t xml:space="preserve">General Notice </w:t>
      </w:r>
      <w:r>
        <w:t>738</w:t>
      </w:r>
      <w:r w:rsidRPr="00523476">
        <w:t>/</w:t>
      </w:r>
      <w:r>
        <w:t>2023</w:t>
      </w:r>
      <w:r>
        <w:t>.</w:t>
      </w:r>
      <w:r w:rsidR="0095228D">
        <w:br/>
      </w:r>
      <w:r w:rsidR="0095228D">
        <w:t xml:space="preserve">Minor formatting errors in the table are corrected without annotation; </w:t>
      </w:r>
      <w:r w:rsidR="0095228D">
        <w:br/>
        <w:t xml:space="preserve">grammar and punctuation are reproduced as in the </w:t>
      </w:r>
      <w:r w:rsidR="0095228D" w:rsidRPr="00921283">
        <w:rPr>
          <w:i/>
        </w:rPr>
        <w:t>Government</w:t>
      </w:r>
      <w:r w:rsidR="0095228D">
        <w:t xml:space="preserve"> </w:t>
      </w:r>
      <w:r w:rsidR="0095228D" w:rsidRPr="00921283">
        <w:rPr>
          <w:i/>
        </w:rPr>
        <w:t>Gazette</w:t>
      </w:r>
      <w:r w:rsidR="00A012CE">
        <w:rPr>
          <w:i/>
        </w:rPr>
        <w:t xml:space="preserve"> </w:t>
      </w:r>
      <w:r w:rsidR="00A012CE" w:rsidRPr="00A012CE">
        <w:t>without annotation</w:t>
      </w:r>
      <w:r w:rsidR="0095228D">
        <w:rPr>
          <w:i/>
        </w:rPr>
        <w:t>.</w:t>
      </w:r>
      <w:r>
        <w:t>]</w:t>
      </w:r>
    </w:p>
    <w:p w14:paraId="57182724" w14:textId="77777777" w:rsidR="00A012CE" w:rsidRDefault="00A012CE" w:rsidP="00857942">
      <w:pPr>
        <w:pStyle w:val="REG-P0"/>
        <w:rPr>
          <w:lang/>
        </w:rPr>
      </w:pPr>
    </w:p>
    <w:p w14:paraId="67D06082" w14:textId="00F1CB7D" w:rsidR="00857942" w:rsidRDefault="00857942" w:rsidP="00857942">
      <w:pPr>
        <w:pStyle w:val="REG-P0"/>
        <w:rPr>
          <w:lang w:val="en-ZA"/>
        </w:rPr>
      </w:pPr>
      <w:r w:rsidRPr="00F36C16">
        <w:rPr>
          <w:lang/>
        </w:rPr>
        <w:t>Comments received in terms of the notice of intention to make Regulations prescribing Fees for Spectrum Licences, Certificates and Examinations in Government Gazette No. 8180, General Notice No. 494, dated 21 August 2023.</w:t>
      </w:r>
    </w:p>
    <w:p w14:paraId="3578A685" w14:textId="77777777" w:rsidR="00857942" w:rsidRDefault="00857942" w:rsidP="00857942">
      <w:pPr>
        <w:pStyle w:val="REG-P0"/>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111"/>
        <w:gridCol w:w="4536"/>
      </w:tblGrid>
      <w:tr w:rsidR="00857942" w:rsidRPr="00513BF0" w14:paraId="7655C613" w14:textId="77777777" w:rsidTr="00EB3C93">
        <w:trPr>
          <w:trHeight w:val="285"/>
        </w:trPr>
        <w:tc>
          <w:tcPr>
            <w:tcW w:w="4111" w:type="dxa"/>
          </w:tcPr>
          <w:p w14:paraId="7098FC4D" w14:textId="77777777" w:rsidR="00857942" w:rsidRPr="00513BF0" w:rsidRDefault="00857942" w:rsidP="000C2AED">
            <w:pPr>
              <w:pStyle w:val="TableParagraph"/>
              <w:spacing w:before="23"/>
              <w:jc w:val="center"/>
              <w:rPr>
                <w:rFonts w:cs="Times New Roman"/>
                <w:b/>
                <w:sz w:val="20"/>
                <w:szCs w:val="20"/>
              </w:rPr>
            </w:pPr>
            <w:r>
              <w:rPr>
                <w:rFonts w:cs="Times New Roman"/>
                <w:b/>
                <w:sz w:val="20"/>
                <w:szCs w:val="20"/>
              </w:rPr>
              <w:t>Operator Comments</w:t>
            </w:r>
          </w:p>
        </w:tc>
        <w:tc>
          <w:tcPr>
            <w:tcW w:w="4536" w:type="dxa"/>
            <w:vAlign w:val="center"/>
          </w:tcPr>
          <w:p w14:paraId="38141AD2" w14:textId="77777777" w:rsidR="00857942" w:rsidRPr="00513BF0" w:rsidRDefault="00857942" w:rsidP="000C2AED">
            <w:pPr>
              <w:pStyle w:val="TableParagraph"/>
              <w:spacing w:before="23"/>
              <w:jc w:val="center"/>
              <w:rPr>
                <w:rFonts w:cs="Times New Roman"/>
                <w:b/>
                <w:sz w:val="20"/>
                <w:szCs w:val="20"/>
              </w:rPr>
            </w:pPr>
            <w:r>
              <w:rPr>
                <w:rFonts w:cs="Times New Roman"/>
                <w:b/>
                <w:sz w:val="20"/>
                <w:szCs w:val="20"/>
              </w:rPr>
              <w:t>Authority Response</w:t>
            </w:r>
          </w:p>
        </w:tc>
      </w:tr>
      <w:tr w:rsidR="00857942" w:rsidRPr="00513BF0" w14:paraId="3DBDA8F1" w14:textId="77777777" w:rsidTr="0052176D">
        <w:trPr>
          <w:trHeight w:val="285"/>
        </w:trPr>
        <w:tc>
          <w:tcPr>
            <w:tcW w:w="8647" w:type="dxa"/>
            <w:gridSpan w:val="2"/>
            <w:shd w:val="clear" w:color="auto" w:fill="auto"/>
            <w:vAlign w:val="center"/>
          </w:tcPr>
          <w:p w14:paraId="539CB44C" w14:textId="77777777" w:rsidR="00857942" w:rsidRPr="00D53EEC" w:rsidRDefault="00857942" w:rsidP="000C2AED">
            <w:pPr>
              <w:pStyle w:val="TableParagraph"/>
              <w:spacing w:before="27"/>
              <w:ind w:left="79" w:right="69"/>
              <w:jc w:val="center"/>
              <w:rPr>
                <w:rFonts w:cs="Times New Roman"/>
                <w:sz w:val="20"/>
                <w:szCs w:val="20"/>
              </w:rPr>
            </w:pPr>
            <w:r w:rsidRPr="00513BF0">
              <w:rPr>
                <w:rFonts w:cs="Times New Roman"/>
                <w:b/>
                <w:sz w:val="20"/>
                <w:szCs w:val="20"/>
              </w:rPr>
              <w:t>Paratus Telecommunications (Pty) Ltd</w:t>
            </w:r>
          </w:p>
        </w:tc>
      </w:tr>
      <w:tr w:rsidR="00857942" w:rsidRPr="007B375D" w14:paraId="7D747550" w14:textId="77777777" w:rsidTr="00EB3C93">
        <w:trPr>
          <w:trHeight w:val="4198"/>
        </w:trPr>
        <w:tc>
          <w:tcPr>
            <w:tcW w:w="4111" w:type="dxa"/>
          </w:tcPr>
          <w:p w14:paraId="3006FD85" w14:textId="77777777" w:rsidR="00857942" w:rsidRDefault="00857942" w:rsidP="000C2AED">
            <w:pPr>
              <w:pStyle w:val="TableParagraph"/>
              <w:numPr>
                <w:ilvl w:val="0"/>
                <w:numId w:val="30"/>
              </w:numPr>
              <w:spacing w:before="27"/>
              <w:rPr>
                <w:rFonts w:cs="Times New Roman"/>
                <w:sz w:val="20"/>
                <w:szCs w:val="20"/>
              </w:rPr>
            </w:pPr>
            <w:r w:rsidRPr="00F36C16">
              <w:rPr>
                <w:rFonts w:cs="Times New Roman"/>
                <w:sz w:val="20"/>
                <w:szCs w:val="20"/>
              </w:rPr>
              <w:t>Paratus Telecommunications welcomes the</w:t>
            </w:r>
            <w:r>
              <w:rPr>
                <w:rFonts w:cs="Times New Roman"/>
                <w:sz w:val="20"/>
                <w:szCs w:val="20"/>
              </w:rPr>
              <w:t xml:space="preserve"> </w:t>
            </w:r>
            <w:r w:rsidRPr="00F36C16">
              <w:rPr>
                <w:rFonts w:cs="Times New Roman"/>
                <w:sz w:val="20"/>
                <w:szCs w:val="20"/>
              </w:rPr>
              <w:t>decrease in the base vale for fixed and mobile</w:t>
            </w:r>
            <w:r>
              <w:rPr>
                <w:rFonts w:cs="Times New Roman"/>
                <w:sz w:val="20"/>
                <w:szCs w:val="20"/>
              </w:rPr>
              <w:t xml:space="preserve"> </w:t>
            </w:r>
            <w:r w:rsidRPr="00F36C16">
              <w:rPr>
                <w:rFonts w:cs="Times New Roman"/>
                <w:sz w:val="20"/>
                <w:szCs w:val="20"/>
              </w:rPr>
              <w:t>satellite services from N$ 5,844 to N$ 650.</w:t>
            </w:r>
          </w:p>
          <w:p w14:paraId="1738943C" w14:textId="77777777" w:rsidR="00857942" w:rsidRPr="00F36C16" w:rsidRDefault="00857942" w:rsidP="000C2AED">
            <w:pPr>
              <w:pStyle w:val="TableParagraph"/>
              <w:spacing w:before="27"/>
              <w:ind w:left="439"/>
              <w:rPr>
                <w:rFonts w:cs="Times New Roman"/>
                <w:sz w:val="20"/>
                <w:szCs w:val="20"/>
              </w:rPr>
            </w:pPr>
          </w:p>
          <w:p w14:paraId="709B8F1F" w14:textId="77777777" w:rsidR="00857942" w:rsidRDefault="00857942" w:rsidP="000C2AED">
            <w:pPr>
              <w:pStyle w:val="TableParagraph"/>
              <w:numPr>
                <w:ilvl w:val="0"/>
                <w:numId w:val="30"/>
              </w:numPr>
              <w:spacing w:before="27"/>
              <w:rPr>
                <w:rFonts w:cs="Times New Roman"/>
                <w:sz w:val="20"/>
                <w:szCs w:val="20"/>
              </w:rPr>
            </w:pPr>
            <w:r w:rsidRPr="00F36C16">
              <w:rPr>
                <w:rFonts w:cs="Times New Roman"/>
                <w:sz w:val="20"/>
                <w:szCs w:val="20"/>
              </w:rPr>
              <w:t>Paratus did the calculation based on the new</w:t>
            </w:r>
            <w:r>
              <w:rPr>
                <w:rFonts w:cs="Times New Roman"/>
                <w:sz w:val="20"/>
                <w:szCs w:val="20"/>
              </w:rPr>
              <w:t xml:space="preserve"> </w:t>
            </w:r>
            <w:r w:rsidRPr="00F36C16">
              <w:rPr>
                <w:rFonts w:cs="Times New Roman"/>
                <w:sz w:val="20"/>
                <w:szCs w:val="20"/>
              </w:rPr>
              <w:t>formula and the updated figures and still</w:t>
            </w:r>
            <w:r>
              <w:rPr>
                <w:rFonts w:cs="Times New Roman"/>
                <w:sz w:val="20"/>
                <w:szCs w:val="20"/>
              </w:rPr>
              <w:t xml:space="preserve"> </w:t>
            </w:r>
            <w:r w:rsidRPr="00F36C16">
              <w:rPr>
                <w:rFonts w:cs="Times New Roman"/>
                <w:sz w:val="20"/>
                <w:szCs w:val="20"/>
              </w:rPr>
              <w:t>comes to the conclusion that it is economically</w:t>
            </w:r>
            <w:r>
              <w:rPr>
                <w:rFonts w:cs="Times New Roman"/>
                <w:sz w:val="20"/>
                <w:szCs w:val="20"/>
              </w:rPr>
              <w:t xml:space="preserve"> </w:t>
            </w:r>
            <w:r w:rsidRPr="00F36C16">
              <w:rPr>
                <w:rFonts w:cs="Times New Roman"/>
                <w:sz w:val="20"/>
                <w:szCs w:val="20"/>
              </w:rPr>
              <w:t>unfeasible to provide satellite services in</w:t>
            </w:r>
            <w:r>
              <w:rPr>
                <w:rFonts w:cs="Times New Roman"/>
                <w:sz w:val="20"/>
                <w:szCs w:val="20"/>
              </w:rPr>
              <w:t xml:space="preserve"> </w:t>
            </w:r>
            <w:r w:rsidRPr="00F36C16">
              <w:rPr>
                <w:rFonts w:cs="Times New Roman"/>
                <w:sz w:val="20"/>
                <w:szCs w:val="20"/>
              </w:rPr>
              <w:t>remote areas in Namibia.</w:t>
            </w:r>
          </w:p>
          <w:p w14:paraId="1ACE837D" w14:textId="77777777" w:rsidR="00857942" w:rsidRPr="00F36C16" w:rsidRDefault="00857942" w:rsidP="000C2AED">
            <w:pPr>
              <w:pStyle w:val="TableParagraph"/>
              <w:spacing w:before="27"/>
              <w:rPr>
                <w:rFonts w:cs="Times New Roman"/>
                <w:sz w:val="20"/>
                <w:szCs w:val="20"/>
              </w:rPr>
            </w:pPr>
          </w:p>
          <w:p w14:paraId="7F97032F" w14:textId="77777777" w:rsidR="00857942" w:rsidRDefault="00857942" w:rsidP="000C2AED">
            <w:pPr>
              <w:pStyle w:val="TableParagraph"/>
              <w:numPr>
                <w:ilvl w:val="0"/>
                <w:numId w:val="30"/>
              </w:numPr>
              <w:spacing w:before="27"/>
              <w:rPr>
                <w:rFonts w:cs="Times New Roman"/>
                <w:sz w:val="20"/>
                <w:szCs w:val="20"/>
              </w:rPr>
            </w:pPr>
            <w:r w:rsidRPr="00F36C16">
              <w:rPr>
                <w:rFonts w:cs="Times New Roman"/>
                <w:sz w:val="20"/>
                <w:szCs w:val="20"/>
              </w:rPr>
              <w:t>Paratus would therefore be interested in</w:t>
            </w:r>
            <w:r>
              <w:rPr>
                <w:rFonts w:cs="Times New Roman"/>
                <w:sz w:val="20"/>
                <w:szCs w:val="20"/>
              </w:rPr>
              <w:t xml:space="preserve"> </w:t>
            </w:r>
            <w:r w:rsidRPr="00F36C16">
              <w:rPr>
                <w:rFonts w:cs="Times New Roman"/>
                <w:sz w:val="20"/>
                <w:szCs w:val="20"/>
              </w:rPr>
              <w:t>seeing how the calculations are done by the</w:t>
            </w:r>
            <w:r>
              <w:rPr>
                <w:rFonts w:cs="Times New Roman"/>
                <w:sz w:val="20"/>
                <w:szCs w:val="20"/>
              </w:rPr>
              <w:t xml:space="preserve"> </w:t>
            </w:r>
            <w:r w:rsidRPr="00F36C16">
              <w:rPr>
                <w:rFonts w:cs="Times New Roman"/>
                <w:sz w:val="20"/>
                <w:szCs w:val="20"/>
              </w:rPr>
              <w:t>Authority.</w:t>
            </w:r>
          </w:p>
          <w:p w14:paraId="5F622BCA" w14:textId="77777777" w:rsidR="00857942" w:rsidRPr="00F36C16" w:rsidRDefault="00857942" w:rsidP="000C2AED">
            <w:pPr>
              <w:pStyle w:val="TableParagraph"/>
              <w:spacing w:before="27"/>
              <w:rPr>
                <w:rFonts w:cs="Times New Roman"/>
                <w:sz w:val="20"/>
                <w:szCs w:val="20"/>
              </w:rPr>
            </w:pPr>
          </w:p>
          <w:p w14:paraId="5436DF30" w14:textId="77777777" w:rsidR="00857942" w:rsidRDefault="00857942" w:rsidP="000C2AED">
            <w:pPr>
              <w:pStyle w:val="TableParagraph"/>
              <w:numPr>
                <w:ilvl w:val="0"/>
                <w:numId w:val="30"/>
              </w:numPr>
              <w:spacing w:before="27"/>
              <w:rPr>
                <w:rFonts w:cs="Times New Roman"/>
                <w:sz w:val="20"/>
                <w:szCs w:val="20"/>
              </w:rPr>
            </w:pPr>
            <w:r w:rsidRPr="00F36C16">
              <w:rPr>
                <w:rFonts w:cs="Times New Roman"/>
                <w:sz w:val="20"/>
                <w:szCs w:val="20"/>
              </w:rPr>
              <w:t>There are a few drafting errors that need to</w:t>
            </w:r>
            <w:r>
              <w:rPr>
                <w:rFonts w:cs="Times New Roman"/>
                <w:sz w:val="20"/>
                <w:szCs w:val="20"/>
              </w:rPr>
              <w:t xml:space="preserve"> </w:t>
            </w:r>
            <w:r w:rsidRPr="00F36C16">
              <w:rPr>
                <w:rFonts w:cs="Times New Roman"/>
                <w:sz w:val="20"/>
                <w:szCs w:val="20"/>
              </w:rPr>
              <w:t>addressed.</w:t>
            </w:r>
          </w:p>
          <w:p w14:paraId="581D2979" w14:textId="77777777" w:rsidR="00857942" w:rsidRPr="007B375D" w:rsidRDefault="00857942" w:rsidP="000C2AED">
            <w:pPr>
              <w:pStyle w:val="TableParagraph"/>
              <w:spacing w:before="27"/>
              <w:rPr>
                <w:rFonts w:cs="Times New Roman"/>
                <w:sz w:val="20"/>
                <w:szCs w:val="20"/>
              </w:rPr>
            </w:pPr>
          </w:p>
        </w:tc>
        <w:tc>
          <w:tcPr>
            <w:tcW w:w="4536" w:type="dxa"/>
          </w:tcPr>
          <w:p w14:paraId="43595C84" w14:textId="563F0387" w:rsidR="00E64B92" w:rsidRPr="007B375D" w:rsidRDefault="00857942" w:rsidP="00E64B92">
            <w:pPr>
              <w:pStyle w:val="TableParagraph"/>
              <w:spacing w:before="27"/>
              <w:ind w:left="79" w:right="69"/>
              <w:jc w:val="both"/>
              <w:rPr>
                <w:rFonts w:cs="Times New Roman"/>
                <w:sz w:val="20"/>
                <w:szCs w:val="20"/>
              </w:rPr>
            </w:pPr>
            <w:r>
              <w:rPr>
                <w:rStyle w:val="A6"/>
              </w:rPr>
              <w:t>The Authority changed the previous formula to the new formula to allow for geographic use of VSAT spectrum that was not previously possible. This would allow for lower spectrum fees since operators will be able to share spectrum and use spectrum only in rural areas.</w:t>
            </w:r>
            <w:r w:rsidR="00E64B92" w:rsidRPr="007B375D">
              <w:rPr>
                <w:rFonts w:cs="Times New Roman"/>
                <w:sz w:val="20"/>
                <w:szCs w:val="20"/>
              </w:rPr>
              <w:t xml:space="preserve"> </w:t>
            </w:r>
          </w:p>
          <w:p w14:paraId="060BD040" w14:textId="367F0E6E" w:rsidR="00E64B92" w:rsidRPr="007B375D" w:rsidRDefault="00E64B92" w:rsidP="00E64B92">
            <w:pPr>
              <w:pStyle w:val="TableParagraph"/>
              <w:spacing w:before="27"/>
              <w:ind w:left="79" w:right="69"/>
              <w:jc w:val="both"/>
              <w:rPr>
                <w:rFonts w:cs="Times New Roman"/>
                <w:sz w:val="20"/>
                <w:szCs w:val="20"/>
              </w:rPr>
            </w:pPr>
          </w:p>
          <w:p w14:paraId="07E196CC" w14:textId="7462D08B" w:rsidR="00E64B92" w:rsidRPr="007B375D" w:rsidRDefault="00857942" w:rsidP="00E64B92">
            <w:pPr>
              <w:pStyle w:val="TableParagraph"/>
              <w:spacing w:before="27"/>
              <w:ind w:left="79" w:right="69"/>
              <w:jc w:val="both"/>
              <w:rPr>
                <w:rFonts w:cs="Times New Roman"/>
                <w:sz w:val="20"/>
                <w:szCs w:val="20"/>
              </w:rPr>
            </w:pPr>
            <w:r>
              <w:rPr>
                <w:rStyle w:val="A6"/>
              </w:rPr>
              <w:t xml:space="preserve">It became apparent that the bandwidth factor was erroneously omitted from the draft regulations. This factor will be </w:t>
            </w:r>
            <w:r>
              <w:rPr>
                <w:rStyle w:val="A6"/>
                <w:b/>
                <w:bCs/>
              </w:rPr>
              <w:t>0.25</w:t>
            </w:r>
            <w:r>
              <w:rPr>
                <w:rStyle w:val="A6"/>
              </w:rPr>
              <w:t>. Kindly see some calculation below, which demonstrate the reduction after the 0.25 factor has been considered.</w:t>
            </w:r>
            <w:r w:rsidR="00E64B92" w:rsidRPr="007B375D">
              <w:rPr>
                <w:rFonts w:cs="Times New Roman"/>
                <w:sz w:val="20"/>
                <w:szCs w:val="20"/>
              </w:rPr>
              <w:t xml:space="preserve"> </w:t>
            </w:r>
          </w:p>
          <w:p w14:paraId="52D518AA" w14:textId="77777777" w:rsidR="00E64B92" w:rsidRPr="007B375D" w:rsidRDefault="00E64B92" w:rsidP="00E64B92">
            <w:pPr>
              <w:pStyle w:val="TableParagraph"/>
              <w:spacing w:before="27"/>
              <w:ind w:left="79" w:right="69"/>
              <w:jc w:val="both"/>
              <w:rPr>
                <w:rFonts w:cs="Times New Roman"/>
                <w:sz w:val="20"/>
                <w:szCs w:val="20"/>
              </w:rPr>
            </w:pPr>
          </w:p>
          <w:p w14:paraId="2B012FC6" w14:textId="77777777" w:rsidR="00857942" w:rsidRPr="007B375D" w:rsidRDefault="00857942" w:rsidP="000C2AED">
            <w:pPr>
              <w:pStyle w:val="TableParagraph"/>
              <w:spacing w:before="27"/>
              <w:ind w:left="79" w:right="69"/>
              <w:jc w:val="both"/>
              <w:rPr>
                <w:rFonts w:cs="Times New Roman"/>
                <w:sz w:val="20"/>
                <w:szCs w:val="20"/>
              </w:rPr>
            </w:pPr>
            <w:r>
              <w:rPr>
                <w:rStyle w:val="A6"/>
              </w:rPr>
              <w:t xml:space="preserve">The Authority reviewed the regulations to correct all drafting errors. </w:t>
            </w:r>
          </w:p>
          <w:p w14:paraId="6792953F" w14:textId="77777777" w:rsidR="00857942" w:rsidRPr="007B375D" w:rsidRDefault="00857942" w:rsidP="000C2AED">
            <w:pPr>
              <w:pStyle w:val="TableParagraph"/>
              <w:widowControl w:val="0"/>
              <w:tabs>
                <w:tab w:val="left" w:pos="399"/>
              </w:tabs>
              <w:autoSpaceDE w:val="0"/>
              <w:autoSpaceDN w:val="0"/>
              <w:spacing w:before="27"/>
              <w:ind w:right="68"/>
              <w:jc w:val="both"/>
              <w:rPr>
                <w:rFonts w:cs="Times New Roman"/>
                <w:sz w:val="20"/>
                <w:szCs w:val="20"/>
              </w:rPr>
            </w:pPr>
          </w:p>
        </w:tc>
      </w:tr>
      <w:tr w:rsidR="00857942" w:rsidRPr="00513BF0" w14:paraId="6EC06611" w14:textId="77777777" w:rsidTr="0052176D">
        <w:trPr>
          <w:trHeight w:val="361"/>
        </w:trPr>
        <w:tc>
          <w:tcPr>
            <w:tcW w:w="8647" w:type="dxa"/>
            <w:gridSpan w:val="2"/>
            <w:shd w:val="clear" w:color="auto" w:fill="auto"/>
            <w:vAlign w:val="center"/>
          </w:tcPr>
          <w:p w14:paraId="77C57FAF" w14:textId="77777777" w:rsidR="00857942" w:rsidRPr="00513BF0" w:rsidRDefault="00857942" w:rsidP="000C2AED">
            <w:pPr>
              <w:pStyle w:val="TableParagraph"/>
              <w:spacing w:before="27"/>
              <w:ind w:left="79" w:right="69"/>
              <w:jc w:val="center"/>
              <w:rPr>
                <w:rFonts w:cs="Times New Roman"/>
                <w:sz w:val="20"/>
                <w:szCs w:val="20"/>
              </w:rPr>
            </w:pPr>
            <w:r>
              <w:rPr>
                <w:rFonts w:cs="Times New Roman"/>
                <w:b/>
                <w:sz w:val="20"/>
                <w:szCs w:val="20"/>
              </w:rPr>
              <w:t>Mobile Telecommunications Limited</w:t>
            </w:r>
          </w:p>
        </w:tc>
      </w:tr>
      <w:tr w:rsidR="00857942" w:rsidRPr="00513BF0" w14:paraId="14E5FB00" w14:textId="77777777" w:rsidTr="00EB3C93">
        <w:trPr>
          <w:trHeight w:val="983"/>
        </w:trPr>
        <w:tc>
          <w:tcPr>
            <w:tcW w:w="4111" w:type="dxa"/>
          </w:tcPr>
          <w:p w14:paraId="66188000"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MTC notes the amendments to the Spectrum</w:t>
            </w:r>
            <w:r>
              <w:rPr>
                <w:rFonts w:cs="Times New Roman"/>
                <w:sz w:val="20"/>
                <w:szCs w:val="20"/>
              </w:rPr>
              <w:t xml:space="preserve"> </w:t>
            </w:r>
            <w:r w:rsidRPr="00F36C16">
              <w:rPr>
                <w:rFonts w:cs="Times New Roman"/>
                <w:sz w:val="20"/>
                <w:szCs w:val="20"/>
              </w:rPr>
              <w:t>Fees Regulations and welcomes the intention</w:t>
            </w:r>
            <w:r>
              <w:rPr>
                <w:rFonts w:cs="Times New Roman"/>
                <w:sz w:val="20"/>
                <w:szCs w:val="20"/>
              </w:rPr>
              <w:t xml:space="preserve"> </w:t>
            </w:r>
            <w:r w:rsidRPr="00F36C16">
              <w:rPr>
                <w:rFonts w:cs="Times New Roman"/>
                <w:sz w:val="20"/>
                <w:szCs w:val="20"/>
              </w:rPr>
              <w:t>of the amendments</w:t>
            </w:r>
          </w:p>
          <w:p w14:paraId="54F37A82" w14:textId="77777777" w:rsidR="00857942" w:rsidRPr="00F36C16" w:rsidRDefault="00857942" w:rsidP="000A4C06">
            <w:pPr>
              <w:pStyle w:val="TableParagraph"/>
              <w:ind w:left="439" w:right="69"/>
              <w:jc w:val="both"/>
              <w:rPr>
                <w:rFonts w:cs="Times New Roman"/>
                <w:sz w:val="20"/>
                <w:szCs w:val="20"/>
              </w:rPr>
            </w:pPr>
          </w:p>
          <w:p w14:paraId="1BAFA665"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The proposed amendment to the satellite</w:t>
            </w:r>
            <w:r>
              <w:rPr>
                <w:rFonts w:cs="Times New Roman"/>
                <w:sz w:val="20"/>
                <w:szCs w:val="20"/>
              </w:rPr>
              <w:t xml:space="preserve"> </w:t>
            </w:r>
            <w:r w:rsidRPr="00F36C16">
              <w:rPr>
                <w:rFonts w:cs="Times New Roman"/>
                <w:sz w:val="20"/>
                <w:szCs w:val="20"/>
              </w:rPr>
              <w:t>formula results in an increase 40%.</w:t>
            </w:r>
          </w:p>
          <w:p w14:paraId="3C8F2A03" w14:textId="77777777" w:rsidR="00857942" w:rsidRPr="00F36C16" w:rsidRDefault="00857942" w:rsidP="000A4C06">
            <w:pPr>
              <w:pStyle w:val="TableParagraph"/>
              <w:ind w:left="79" w:right="69"/>
              <w:jc w:val="both"/>
              <w:rPr>
                <w:rFonts w:cs="Times New Roman"/>
                <w:sz w:val="20"/>
                <w:szCs w:val="20"/>
              </w:rPr>
            </w:pPr>
          </w:p>
          <w:p w14:paraId="5B4B8D34"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MTC refers to the amendment of the</w:t>
            </w:r>
            <w:r>
              <w:rPr>
                <w:rFonts w:cs="Times New Roman"/>
                <w:sz w:val="20"/>
                <w:szCs w:val="20"/>
              </w:rPr>
              <w:t xml:space="preserve"> </w:t>
            </w:r>
            <w:r w:rsidRPr="00F36C16">
              <w:rPr>
                <w:rFonts w:cs="Times New Roman"/>
                <w:sz w:val="20"/>
                <w:szCs w:val="20"/>
              </w:rPr>
              <w:t>Frequency Band Factor (FBF) for spectrum</w:t>
            </w:r>
            <w:r>
              <w:rPr>
                <w:rFonts w:cs="Times New Roman"/>
                <w:sz w:val="20"/>
                <w:szCs w:val="20"/>
              </w:rPr>
              <w:t xml:space="preserve"> </w:t>
            </w:r>
            <w:r w:rsidRPr="00F36C16">
              <w:rPr>
                <w:rFonts w:cs="Times New Roman"/>
                <w:sz w:val="20"/>
                <w:szCs w:val="20"/>
              </w:rPr>
              <w:t>in the 694 MHz to 960 MHz and 3300 MHz</w:t>
            </w:r>
            <w:r>
              <w:rPr>
                <w:rFonts w:cs="Times New Roman"/>
                <w:sz w:val="20"/>
                <w:szCs w:val="20"/>
              </w:rPr>
              <w:t xml:space="preserve"> </w:t>
            </w:r>
            <w:r w:rsidRPr="00F36C16">
              <w:rPr>
                <w:rFonts w:cs="Times New Roman"/>
                <w:sz w:val="20"/>
                <w:szCs w:val="20"/>
              </w:rPr>
              <w:t>to 3600 MHz range from 0.5 to 2.25. This</w:t>
            </w:r>
            <w:r>
              <w:rPr>
                <w:rFonts w:cs="Times New Roman"/>
                <w:sz w:val="20"/>
                <w:szCs w:val="20"/>
              </w:rPr>
              <w:t xml:space="preserve"> </w:t>
            </w:r>
            <w:r w:rsidRPr="00F36C16">
              <w:rPr>
                <w:rFonts w:cs="Times New Roman"/>
                <w:sz w:val="20"/>
                <w:szCs w:val="20"/>
              </w:rPr>
              <w:t>amendment results in an increase of triple the</w:t>
            </w:r>
            <w:r>
              <w:rPr>
                <w:rFonts w:cs="Times New Roman"/>
                <w:sz w:val="20"/>
                <w:szCs w:val="20"/>
              </w:rPr>
              <w:t xml:space="preserve"> </w:t>
            </w:r>
            <w:r w:rsidRPr="00F36C16">
              <w:rPr>
                <w:rFonts w:cs="Times New Roman"/>
                <w:sz w:val="20"/>
                <w:szCs w:val="20"/>
              </w:rPr>
              <w:t>fees, despite the reduction of the base value</w:t>
            </w:r>
            <w:r>
              <w:rPr>
                <w:rFonts w:cs="Times New Roman"/>
                <w:sz w:val="20"/>
                <w:szCs w:val="20"/>
              </w:rPr>
              <w:t xml:space="preserve"> </w:t>
            </w:r>
            <w:r w:rsidRPr="00F36C16">
              <w:rPr>
                <w:rFonts w:cs="Times New Roman"/>
                <w:sz w:val="20"/>
                <w:szCs w:val="20"/>
              </w:rPr>
              <w:t>from N$ 1 607 to N$ 1 210.</w:t>
            </w:r>
          </w:p>
          <w:p w14:paraId="7C74F51B" w14:textId="77777777" w:rsidR="00857942" w:rsidRPr="00F36C16" w:rsidRDefault="00857942" w:rsidP="000A4C06">
            <w:pPr>
              <w:pStyle w:val="TableParagraph"/>
              <w:ind w:right="69"/>
              <w:jc w:val="both"/>
              <w:rPr>
                <w:rFonts w:cs="Times New Roman"/>
                <w:sz w:val="20"/>
                <w:szCs w:val="20"/>
              </w:rPr>
            </w:pPr>
          </w:p>
          <w:p w14:paraId="2DEBF842"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MTC acknowledges that the Regulator</w:t>
            </w:r>
            <w:r>
              <w:rPr>
                <w:rFonts w:cs="Times New Roman"/>
                <w:sz w:val="20"/>
                <w:szCs w:val="20"/>
              </w:rPr>
              <w:t xml:space="preserve"> </w:t>
            </w:r>
            <w:r w:rsidRPr="00F36C16">
              <w:rPr>
                <w:rFonts w:cs="Times New Roman"/>
                <w:sz w:val="20"/>
                <w:szCs w:val="20"/>
              </w:rPr>
              <w:t>has relied on the Guidelines for the</w:t>
            </w:r>
            <w:r>
              <w:rPr>
                <w:rFonts w:cs="Times New Roman"/>
                <w:sz w:val="20"/>
                <w:szCs w:val="20"/>
              </w:rPr>
              <w:t xml:space="preserve"> </w:t>
            </w:r>
            <w:r w:rsidRPr="00F36C16">
              <w:rPr>
                <w:rFonts w:cs="Times New Roman"/>
                <w:sz w:val="20"/>
                <w:szCs w:val="20"/>
              </w:rPr>
              <w:t>review of spectrum pricing methodologies</w:t>
            </w:r>
            <w:r>
              <w:rPr>
                <w:rFonts w:cs="Times New Roman"/>
                <w:sz w:val="20"/>
                <w:szCs w:val="20"/>
              </w:rPr>
              <w:t xml:space="preserve"> </w:t>
            </w:r>
            <w:r w:rsidRPr="00F36C16">
              <w:rPr>
                <w:rFonts w:cs="Times New Roman"/>
                <w:sz w:val="20"/>
                <w:szCs w:val="20"/>
              </w:rPr>
              <w:t>and the preparation of spectrum fee</w:t>
            </w:r>
            <w:r>
              <w:rPr>
                <w:rFonts w:cs="Times New Roman"/>
                <w:sz w:val="20"/>
                <w:szCs w:val="20"/>
              </w:rPr>
              <w:t xml:space="preserve"> </w:t>
            </w:r>
            <w:r w:rsidRPr="00F36C16">
              <w:rPr>
                <w:rFonts w:cs="Times New Roman"/>
                <w:sz w:val="20"/>
                <w:szCs w:val="20"/>
              </w:rPr>
              <w:t>schedules as published by the International</w:t>
            </w:r>
            <w:r>
              <w:rPr>
                <w:rFonts w:cs="Times New Roman"/>
                <w:sz w:val="20"/>
                <w:szCs w:val="20"/>
              </w:rPr>
              <w:t xml:space="preserve"> </w:t>
            </w:r>
            <w:r w:rsidRPr="00F36C16">
              <w:rPr>
                <w:rFonts w:cs="Times New Roman"/>
                <w:sz w:val="20"/>
                <w:szCs w:val="20"/>
              </w:rPr>
              <w:t>Telecommunications Union (ITU), these</w:t>
            </w:r>
            <w:r>
              <w:rPr>
                <w:rFonts w:cs="Times New Roman"/>
                <w:sz w:val="20"/>
                <w:szCs w:val="20"/>
              </w:rPr>
              <w:t xml:space="preserve"> </w:t>
            </w:r>
            <w:r w:rsidRPr="00F36C16">
              <w:rPr>
                <w:rFonts w:cs="Times New Roman"/>
                <w:sz w:val="20"/>
                <w:szCs w:val="20"/>
              </w:rPr>
              <w:t>guidelines also require the consideration</w:t>
            </w:r>
            <w:r>
              <w:rPr>
                <w:rFonts w:cs="Times New Roman"/>
                <w:sz w:val="20"/>
                <w:szCs w:val="20"/>
              </w:rPr>
              <w:t xml:space="preserve"> </w:t>
            </w:r>
            <w:r w:rsidRPr="00F36C16">
              <w:rPr>
                <w:rFonts w:cs="Times New Roman"/>
                <w:sz w:val="20"/>
                <w:szCs w:val="20"/>
              </w:rPr>
              <w:t>of issues with setting spectrum prices. The</w:t>
            </w:r>
            <w:r>
              <w:rPr>
                <w:rFonts w:cs="Times New Roman"/>
                <w:sz w:val="20"/>
                <w:szCs w:val="20"/>
              </w:rPr>
              <w:t xml:space="preserve"> </w:t>
            </w:r>
            <w:r w:rsidRPr="00F36C16">
              <w:rPr>
                <w:rFonts w:cs="Times New Roman"/>
                <w:sz w:val="20"/>
                <w:szCs w:val="20"/>
              </w:rPr>
              <w:t>Regulator has an obligation to consider</w:t>
            </w:r>
            <w:r>
              <w:rPr>
                <w:rFonts w:cs="Times New Roman"/>
                <w:sz w:val="20"/>
                <w:szCs w:val="20"/>
              </w:rPr>
              <w:t xml:space="preserve"> </w:t>
            </w:r>
            <w:r w:rsidRPr="00F36C16">
              <w:rPr>
                <w:rFonts w:cs="Times New Roman"/>
                <w:sz w:val="20"/>
                <w:szCs w:val="20"/>
              </w:rPr>
              <w:t>the fiscal context; relevant principles and</w:t>
            </w:r>
            <w:r>
              <w:rPr>
                <w:rFonts w:cs="Times New Roman"/>
                <w:sz w:val="20"/>
                <w:szCs w:val="20"/>
              </w:rPr>
              <w:t xml:space="preserve"> </w:t>
            </w:r>
            <w:r w:rsidRPr="00F36C16">
              <w:rPr>
                <w:rFonts w:cs="Times New Roman"/>
                <w:sz w:val="20"/>
                <w:szCs w:val="20"/>
              </w:rPr>
              <w:t>objectives for certain types of spectrum</w:t>
            </w:r>
            <w:r>
              <w:rPr>
                <w:rFonts w:cs="Times New Roman"/>
                <w:sz w:val="20"/>
                <w:szCs w:val="20"/>
              </w:rPr>
              <w:t xml:space="preserve"> </w:t>
            </w:r>
            <w:r w:rsidRPr="00F36C16">
              <w:rPr>
                <w:rFonts w:cs="Times New Roman"/>
                <w:sz w:val="20"/>
                <w:szCs w:val="20"/>
              </w:rPr>
              <w:t>fees; funding regulator operations; demand</w:t>
            </w:r>
            <w:r>
              <w:rPr>
                <w:rFonts w:cs="Times New Roman"/>
                <w:sz w:val="20"/>
                <w:szCs w:val="20"/>
              </w:rPr>
              <w:t xml:space="preserve"> </w:t>
            </w:r>
            <w:r w:rsidRPr="00F36C16">
              <w:rPr>
                <w:rFonts w:cs="Times New Roman"/>
                <w:sz w:val="20"/>
                <w:szCs w:val="20"/>
              </w:rPr>
              <w:t>and supply for spectrum; technological</w:t>
            </w:r>
            <w:r>
              <w:rPr>
                <w:rFonts w:cs="Times New Roman"/>
                <w:sz w:val="20"/>
                <w:szCs w:val="20"/>
              </w:rPr>
              <w:t xml:space="preserve"> </w:t>
            </w:r>
            <w:r w:rsidRPr="00F36C16">
              <w:rPr>
                <w:rFonts w:cs="Times New Roman"/>
                <w:sz w:val="20"/>
                <w:szCs w:val="20"/>
              </w:rPr>
              <w:t>change; type and duration of the spectrum</w:t>
            </w:r>
            <w:r>
              <w:rPr>
                <w:rFonts w:cs="Times New Roman"/>
                <w:sz w:val="20"/>
                <w:szCs w:val="20"/>
              </w:rPr>
              <w:t xml:space="preserve"> </w:t>
            </w:r>
            <w:r w:rsidRPr="00F36C16">
              <w:rPr>
                <w:rFonts w:cs="Times New Roman"/>
                <w:sz w:val="20"/>
                <w:szCs w:val="20"/>
              </w:rPr>
              <w:t>authorization and renewal options.</w:t>
            </w:r>
          </w:p>
          <w:p w14:paraId="509FC1BC" w14:textId="77777777" w:rsidR="00857942" w:rsidRPr="00F36C16" w:rsidRDefault="00857942" w:rsidP="000A4C06">
            <w:pPr>
              <w:pStyle w:val="TableParagraph"/>
              <w:ind w:right="69"/>
              <w:jc w:val="both"/>
              <w:rPr>
                <w:rFonts w:cs="Times New Roman"/>
                <w:sz w:val="20"/>
                <w:szCs w:val="20"/>
              </w:rPr>
            </w:pPr>
          </w:p>
          <w:p w14:paraId="1BD82742"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In considering these factors it is important</w:t>
            </w:r>
            <w:r>
              <w:rPr>
                <w:rFonts w:cs="Times New Roman"/>
                <w:sz w:val="20"/>
                <w:szCs w:val="20"/>
              </w:rPr>
              <w:t xml:space="preserve"> </w:t>
            </w:r>
            <w:r w:rsidRPr="00F36C16">
              <w:rPr>
                <w:rFonts w:cs="Times New Roman"/>
                <w:sz w:val="20"/>
                <w:szCs w:val="20"/>
              </w:rPr>
              <w:t>to note that “Spectrum fees set too high</w:t>
            </w:r>
            <w:r>
              <w:rPr>
                <w:rFonts w:cs="Times New Roman"/>
                <w:sz w:val="20"/>
                <w:szCs w:val="20"/>
              </w:rPr>
              <w:t xml:space="preserve"> </w:t>
            </w:r>
            <w:r w:rsidRPr="00F36C16">
              <w:rPr>
                <w:rFonts w:cs="Times New Roman"/>
                <w:sz w:val="20"/>
                <w:szCs w:val="20"/>
              </w:rPr>
              <w:t>combined with income taxes, VAT, excise,</w:t>
            </w:r>
            <w:r>
              <w:rPr>
                <w:rFonts w:cs="Times New Roman"/>
                <w:sz w:val="20"/>
                <w:szCs w:val="20"/>
              </w:rPr>
              <w:t xml:space="preserve"> </w:t>
            </w:r>
            <w:r w:rsidRPr="00F36C16">
              <w:rPr>
                <w:rFonts w:cs="Times New Roman"/>
                <w:sz w:val="20"/>
                <w:szCs w:val="20"/>
              </w:rPr>
              <w:t>regulatory fees, and other charges can</w:t>
            </w:r>
            <w:r>
              <w:rPr>
                <w:rFonts w:cs="Times New Roman"/>
                <w:sz w:val="20"/>
                <w:szCs w:val="20"/>
              </w:rPr>
              <w:t xml:space="preserve"> </w:t>
            </w:r>
            <w:r w:rsidRPr="00F36C16">
              <w:rPr>
                <w:rFonts w:cs="Times New Roman"/>
                <w:sz w:val="20"/>
                <w:szCs w:val="20"/>
              </w:rPr>
              <w:t>negatively impact growth opportunities and</w:t>
            </w:r>
            <w:r>
              <w:rPr>
                <w:rFonts w:cs="Times New Roman"/>
                <w:sz w:val="20"/>
                <w:szCs w:val="20"/>
              </w:rPr>
              <w:t xml:space="preserve"> </w:t>
            </w:r>
            <w:r w:rsidRPr="00F36C16">
              <w:rPr>
                <w:rFonts w:cs="Times New Roman"/>
                <w:sz w:val="20"/>
                <w:szCs w:val="20"/>
              </w:rPr>
              <w:t>attractiveness, sector valuations, investment</w:t>
            </w:r>
            <w:r>
              <w:rPr>
                <w:rFonts w:cs="Times New Roman"/>
                <w:sz w:val="20"/>
                <w:szCs w:val="20"/>
              </w:rPr>
              <w:t xml:space="preserve"> </w:t>
            </w:r>
            <w:r w:rsidRPr="00F36C16">
              <w:rPr>
                <w:rFonts w:cs="Times New Roman"/>
                <w:sz w:val="20"/>
                <w:szCs w:val="20"/>
              </w:rPr>
              <w:t>levels, and compliance with authorisations.”2</w:t>
            </w:r>
            <w:r>
              <w:rPr>
                <w:rFonts w:cs="Times New Roman"/>
                <w:sz w:val="20"/>
                <w:szCs w:val="20"/>
              </w:rPr>
              <w:t xml:space="preserve"> </w:t>
            </w:r>
            <w:r w:rsidRPr="00F36C16">
              <w:rPr>
                <w:rFonts w:cs="Times New Roman"/>
                <w:sz w:val="20"/>
                <w:szCs w:val="20"/>
              </w:rPr>
              <w:t>The Regulator’s document primarily focuses</w:t>
            </w:r>
            <w:r>
              <w:rPr>
                <w:rFonts w:cs="Times New Roman"/>
                <w:sz w:val="20"/>
                <w:szCs w:val="20"/>
              </w:rPr>
              <w:t xml:space="preserve"> </w:t>
            </w:r>
            <w:r w:rsidRPr="00F36C16">
              <w:rPr>
                <w:rFonts w:cs="Times New Roman"/>
                <w:sz w:val="20"/>
                <w:szCs w:val="20"/>
              </w:rPr>
              <w:t>on the Regulator’s administrative/ operational</w:t>
            </w:r>
            <w:r>
              <w:rPr>
                <w:rFonts w:cs="Times New Roman"/>
                <w:sz w:val="20"/>
                <w:szCs w:val="20"/>
              </w:rPr>
              <w:t xml:space="preserve"> </w:t>
            </w:r>
            <w:r w:rsidRPr="00F36C16">
              <w:rPr>
                <w:rFonts w:cs="Times New Roman"/>
                <w:sz w:val="20"/>
                <w:szCs w:val="20"/>
              </w:rPr>
              <w:t>costs, no consideration is visible on the impact</w:t>
            </w:r>
            <w:r>
              <w:rPr>
                <w:rFonts w:cs="Times New Roman"/>
                <w:sz w:val="20"/>
                <w:szCs w:val="20"/>
              </w:rPr>
              <w:t xml:space="preserve"> </w:t>
            </w:r>
            <w:r w:rsidRPr="00F36C16">
              <w:rPr>
                <w:rFonts w:cs="Times New Roman"/>
                <w:sz w:val="20"/>
                <w:szCs w:val="20"/>
              </w:rPr>
              <w:t>the amendment will have on the industry and</w:t>
            </w:r>
            <w:r>
              <w:rPr>
                <w:rFonts w:cs="Times New Roman"/>
                <w:sz w:val="20"/>
                <w:szCs w:val="20"/>
              </w:rPr>
              <w:t xml:space="preserve"> </w:t>
            </w:r>
            <w:r w:rsidRPr="00F36C16">
              <w:rPr>
                <w:rFonts w:cs="Times New Roman"/>
                <w:sz w:val="20"/>
                <w:szCs w:val="20"/>
              </w:rPr>
              <w:t>the end consumer.</w:t>
            </w:r>
          </w:p>
          <w:p w14:paraId="4E66E046" w14:textId="77777777" w:rsidR="00857942" w:rsidRPr="00E64B92" w:rsidRDefault="00857942" w:rsidP="000A4C06">
            <w:pPr>
              <w:ind w:left="439"/>
              <w:rPr>
                <w:rFonts w:cs="Times New Roman"/>
                <w:sz w:val="20"/>
                <w:szCs w:val="20"/>
              </w:rPr>
            </w:pPr>
          </w:p>
          <w:p w14:paraId="5BB6BA57"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Recent research has found that high spectrum prices can have a causal effect in reducing the coverage and quality of mobile services in both developing and developed markets. This is because spectrum fees raise the average cost of mobile services, reducing longterm returns on investment and weakening incentives to expand and upgrade mobile networks, negatively affecting coverage and</w:t>
            </w:r>
            <w:r>
              <w:rPr>
                <w:rFonts w:cs="Times New Roman"/>
                <w:sz w:val="20"/>
                <w:szCs w:val="20"/>
              </w:rPr>
              <w:t xml:space="preserve"> </w:t>
            </w:r>
            <w:r w:rsidRPr="00F36C16">
              <w:rPr>
                <w:rFonts w:cs="Times New Roman"/>
                <w:sz w:val="20"/>
                <w:szCs w:val="20"/>
              </w:rPr>
              <w:t>network speeds for consumers.</w:t>
            </w:r>
          </w:p>
          <w:p w14:paraId="7C5A5890" w14:textId="77777777" w:rsidR="00857942" w:rsidRPr="00F36C16" w:rsidRDefault="00857942" w:rsidP="000A4C06">
            <w:pPr>
              <w:pStyle w:val="TableParagraph"/>
              <w:ind w:left="439" w:right="69"/>
              <w:jc w:val="both"/>
              <w:rPr>
                <w:rFonts w:cs="Times New Roman"/>
                <w:sz w:val="20"/>
                <w:szCs w:val="20"/>
              </w:rPr>
            </w:pPr>
          </w:p>
          <w:p w14:paraId="31049043" w14:textId="77777777" w:rsidR="00857942"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Across countries in Africa, we find that Morocco and Tunisia have lower spectrum prices for coverage spectrum and relatively higher coverage, and have among the fastest networks on the continent. Meanwhile, Mauritania, Niger and Sao Tome and Principe have some of the highest spectrum prices, and as a result have lower coverage levels and</w:t>
            </w:r>
            <w:r>
              <w:rPr>
                <w:rFonts w:cs="Times New Roman"/>
                <w:sz w:val="20"/>
                <w:szCs w:val="20"/>
              </w:rPr>
              <w:t xml:space="preserve"> </w:t>
            </w:r>
            <w:r w:rsidRPr="00F36C16">
              <w:rPr>
                <w:rFonts w:cs="Times New Roman"/>
                <w:sz w:val="20"/>
                <w:szCs w:val="20"/>
              </w:rPr>
              <w:t>slower download speeds</w:t>
            </w:r>
          </w:p>
          <w:p w14:paraId="171F2F3D" w14:textId="77777777" w:rsidR="00857942" w:rsidRPr="00F36C16" w:rsidRDefault="00857942" w:rsidP="000A4C06">
            <w:pPr>
              <w:pStyle w:val="TableParagraph"/>
              <w:ind w:left="439" w:right="69"/>
              <w:jc w:val="both"/>
              <w:rPr>
                <w:rFonts w:cs="Times New Roman"/>
                <w:sz w:val="20"/>
                <w:szCs w:val="20"/>
              </w:rPr>
            </w:pPr>
          </w:p>
          <w:p w14:paraId="2263E2EC" w14:textId="18E3276D" w:rsidR="00857942" w:rsidRPr="00F36C16"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The formula based charging is a common industry practice, however, the countries utilizing the formula do not have a frequency band factor of higher than 1 to 1.5. Some countries have a congestion factor for each frequency band and a separate high demand measurement like Eswatini. Their value demand is depended on the amount of spectrum left in the band. The Regulator should advise how the 2.25 frequency band</w:t>
            </w:r>
            <w:r>
              <w:rPr>
                <w:rFonts w:cs="Times New Roman"/>
                <w:sz w:val="20"/>
                <w:szCs w:val="20"/>
              </w:rPr>
              <w:t xml:space="preserve"> </w:t>
            </w:r>
            <w:r w:rsidRPr="00F36C16">
              <w:rPr>
                <w:rFonts w:cs="Times New Roman"/>
                <w:sz w:val="20"/>
                <w:szCs w:val="20"/>
              </w:rPr>
              <w:t>factor was determined.</w:t>
            </w:r>
          </w:p>
          <w:p w14:paraId="6D052E34" w14:textId="77777777" w:rsidR="00857942" w:rsidRPr="00F36C16" w:rsidRDefault="00857942" w:rsidP="000A4C06">
            <w:pPr>
              <w:pStyle w:val="TableParagraph"/>
              <w:ind w:left="439" w:right="69"/>
              <w:jc w:val="both"/>
              <w:rPr>
                <w:rFonts w:cs="Times New Roman"/>
                <w:sz w:val="20"/>
                <w:szCs w:val="20"/>
              </w:rPr>
            </w:pPr>
          </w:p>
          <w:p w14:paraId="7ACA831D" w14:textId="77777777" w:rsidR="00857942" w:rsidRPr="00C16FAD" w:rsidRDefault="00857942" w:rsidP="000A4C06">
            <w:pPr>
              <w:pStyle w:val="TableParagraph"/>
              <w:numPr>
                <w:ilvl w:val="0"/>
                <w:numId w:val="31"/>
              </w:numPr>
              <w:ind w:right="69"/>
              <w:jc w:val="both"/>
              <w:rPr>
                <w:rFonts w:cs="Times New Roman"/>
                <w:sz w:val="20"/>
                <w:szCs w:val="20"/>
              </w:rPr>
            </w:pPr>
            <w:r w:rsidRPr="00F36C16">
              <w:rPr>
                <w:rFonts w:cs="Times New Roman"/>
                <w:sz w:val="20"/>
                <w:szCs w:val="20"/>
              </w:rPr>
              <w:t>It is worth noting that the countries utilizing the formula base approach have a separate formula for mobile/fixed services and satellite services, countries like Eswatini, Nigeria, Botswana, Kenya but to name a few. This is</w:t>
            </w:r>
            <w:r>
              <w:rPr>
                <w:rFonts w:cs="Times New Roman"/>
                <w:sz w:val="20"/>
                <w:szCs w:val="20"/>
              </w:rPr>
              <w:t xml:space="preserve"> </w:t>
            </w:r>
            <w:r w:rsidRPr="00F36C16">
              <w:rPr>
                <w:rFonts w:cs="Times New Roman"/>
                <w:sz w:val="20"/>
                <w:szCs w:val="20"/>
              </w:rPr>
              <w:t>due to the fact that these services differ and so</w:t>
            </w:r>
            <w:r>
              <w:rPr>
                <w:rFonts w:cs="Times New Roman"/>
                <w:sz w:val="20"/>
                <w:szCs w:val="20"/>
              </w:rPr>
              <w:t xml:space="preserve"> </w:t>
            </w:r>
            <w:r w:rsidRPr="00F36C16">
              <w:rPr>
                <w:rFonts w:cs="Times New Roman"/>
                <w:sz w:val="20"/>
                <w:szCs w:val="20"/>
              </w:rPr>
              <w:t>do the management of them.</w:t>
            </w:r>
          </w:p>
        </w:tc>
        <w:tc>
          <w:tcPr>
            <w:tcW w:w="4536" w:type="dxa"/>
          </w:tcPr>
          <w:p w14:paraId="136BA732" w14:textId="77777777" w:rsidR="00E64B92" w:rsidRPr="007B375D" w:rsidRDefault="00857942" w:rsidP="000A4C06">
            <w:pPr>
              <w:pStyle w:val="TableParagraph"/>
              <w:ind w:left="79" w:right="69"/>
              <w:jc w:val="both"/>
              <w:rPr>
                <w:rFonts w:cs="Times New Roman"/>
                <w:sz w:val="20"/>
                <w:szCs w:val="20"/>
              </w:rPr>
            </w:pPr>
            <w:r>
              <w:rPr>
                <w:rStyle w:val="A6"/>
              </w:rPr>
              <w:t xml:space="preserve">The bandwidth factor was erroneously omitted from the draft regulations. This factor will be </w:t>
            </w:r>
            <w:r>
              <w:rPr>
                <w:rStyle w:val="A6"/>
                <w:b/>
                <w:bCs/>
              </w:rPr>
              <w:t>0.25</w:t>
            </w:r>
            <w:r>
              <w:rPr>
                <w:rStyle w:val="A6"/>
              </w:rPr>
              <w:t xml:space="preserve">. Once the 0.25 factor has been considered, the formula will indeed result in a reduction of the satellite fees. As per calculation below: </w:t>
            </w:r>
          </w:p>
          <w:p w14:paraId="2C03F828" w14:textId="77777777" w:rsidR="00E64B92" w:rsidRPr="007B375D" w:rsidRDefault="00857942" w:rsidP="000A4C06">
            <w:pPr>
              <w:pStyle w:val="TableParagraph"/>
              <w:ind w:left="79" w:right="69"/>
              <w:jc w:val="both"/>
              <w:rPr>
                <w:rFonts w:cs="Times New Roman"/>
                <w:sz w:val="20"/>
                <w:szCs w:val="20"/>
              </w:rPr>
            </w:pPr>
            <w:r>
              <w:rPr>
                <w:rStyle w:val="A6"/>
                <w:b/>
                <w:bCs/>
              </w:rPr>
              <w:t xml:space="preserve">MTC Satellite: </w:t>
            </w:r>
            <w:r>
              <w:rPr>
                <w:rStyle w:val="A6"/>
              </w:rPr>
              <w:t xml:space="preserve">Formula for fixed and mobile satellite = BV x FBF x CF x SHRF x GEOF x BW </w:t>
            </w:r>
          </w:p>
          <w:p w14:paraId="5D0489F2" w14:textId="4BAC4C9D" w:rsidR="00E64B92" w:rsidRPr="007B375D" w:rsidRDefault="00857942" w:rsidP="000A4C06">
            <w:pPr>
              <w:pStyle w:val="TableParagraph"/>
              <w:ind w:left="79" w:right="69"/>
              <w:jc w:val="both"/>
              <w:rPr>
                <w:rFonts w:cs="Times New Roman"/>
                <w:sz w:val="20"/>
                <w:szCs w:val="20"/>
              </w:rPr>
            </w:pPr>
            <w:r>
              <w:rPr>
                <w:rStyle w:val="A6"/>
              </w:rPr>
              <w:t xml:space="preserve">5 x 0.25 x 30 x 1 x 1 x 550 = 20,625.00 NAD as opposed to the current </w:t>
            </w:r>
            <w:r>
              <w:rPr>
                <w:rStyle w:val="A6"/>
                <w:b/>
                <w:bCs/>
              </w:rPr>
              <w:t>N$ 29 220.00.</w:t>
            </w:r>
            <w:r w:rsidR="00E64B92" w:rsidRPr="007B375D">
              <w:rPr>
                <w:rFonts w:cs="Times New Roman"/>
                <w:sz w:val="20"/>
                <w:szCs w:val="20"/>
              </w:rPr>
              <w:t xml:space="preserve"> </w:t>
            </w:r>
          </w:p>
          <w:p w14:paraId="0F17D4F0" w14:textId="1EA00AA8" w:rsidR="00E64B92" w:rsidRDefault="00E64B92" w:rsidP="000A4C06">
            <w:pPr>
              <w:pStyle w:val="TableParagraph"/>
              <w:ind w:left="79" w:right="69"/>
              <w:jc w:val="both"/>
              <w:rPr>
                <w:rFonts w:cs="Times New Roman"/>
                <w:sz w:val="20"/>
                <w:szCs w:val="20"/>
              </w:rPr>
            </w:pPr>
          </w:p>
          <w:p w14:paraId="7CC59430" w14:textId="77777777" w:rsidR="00E64B92" w:rsidRPr="007B375D" w:rsidRDefault="00E64B92" w:rsidP="000A4C06">
            <w:pPr>
              <w:pStyle w:val="TableParagraph"/>
              <w:ind w:left="79" w:right="69"/>
              <w:jc w:val="both"/>
              <w:rPr>
                <w:rFonts w:cs="Times New Roman"/>
                <w:sz w:val="20"/>
                <w:szCs w:val="20"/>
              </w:rPr>
            </w:pPr>
          </w:p>
          <w:p w14:paraId="06722525" w14:textId="77777777" w:rsidR="00E64B92" w:rsidRPr="007B375D" w:rsidRDefault="00857942" w:rsidP="000A4C06">
            <w:pPr>
              <w:pStyle w:val="TableParagraph"/>
              <w:ind w:left="79" w:right="69"/>
              <w:jc w:val="both"/>
              <w:rPr>
                <w:rFonts w:cs="Times New Roman"/>
                <w:sz w:val="20"/>
                <w:szCs w:val="20"/>
              </w:rPr>
            </w:pPr>
            <w:r>
              <w:rPr>
                <w:rStyle w:val="A6"/>
              </w:rPr>
              <w:t xml:space="preserve">The fees for the 900MHz spectrum band will increase to ensure that the scarcity and demand for the band is reflected. </w:t>
            </w:r>
          </w:p>
          <w:p w14:paraId="0CE32B74" w14:textId="0206C4E1" w:rsidR="00E64B92" w:rsidRPr="007B375D" w:rsidRDefault="00857942" w:rsidP="000A4C06">
            <w:pPr>
              <w:pStyle w:val="TableParagraph"/>
              <w:ind w:left="79" w:right="69"/>
              <w:jc w:val="both"/>
              <w:rPr>
                <w:rFonts w:cs="Times New Roman"/>
                <w:sz w:val="20"/>
                <w:szCs w:val="20"/>
              </w:rPr>
            </w:pPr>
            <w:r>
              <w:rPr>
                <w:rStyle w:val="A6"/>
              </w:rPr>
              <w:t>This is required to ensure efficient use of the spectrum and avoid the hoarding of excessive spectrum resources which are limited. The 3300 MHz to 3600Mhz band will be offered on auction and there the FBF will only be utilised to determine the auction input value and the fees from year 2 onward.</w:t>
            </w:r>
            <w:r w:rsidR="00E64B92" w:rsidRPr="007B375D">
              <w:rPr>
                <w:rFonts w:cs="Times New Roman"/>
                <w:sz w:val="20"/>
                <w:szCs w:val="20"/>
              </w:rPr>
              <w:t xml:space="preserve"> </w:t>
            </w:r>
          </w:p>
          <w:p w14:paraId="78AF9841" w14:textId="77777777" w:rsidR="00E64B92" w:rsidRPr="007B375D" w:rsidRDefault="00E64B92" w:rsidP="000A4C06">
            <w:pPr>
              <w:pStyle w:val="TableParagraph"/>
              <w:ind w:left="79" w:right="69"/>
              <w:jc w:val="both"/>
              <w:rPr>
                <w:rFonts w:cs="Times New Roman"/>
                <w:sz w:val="20"/>
                <w:szCs w:val="20"/>
              </w:rPr>
            </w:pPr>
          </w:p>
          <w:p w14:paraId="26308CC3" w14:textId="2F94CFCF" w:rsidR="00E64B92" w:rsidRPr="007B375D" w:rsidRDefault="00857942" w:rsidP="000A4C06">
            <w:pPr>
              <w:pStyle w:val="TableParagraph"/>
              <w:ind w:left="79" w:right="69"/>
              <w:jc w:val="both"/>
              <w:rPr>
                <w:rFonts w:cs="Times New Roman"/>
                <w:sz w:val="20"/>
                <w:szCs w:val="20"/>
              </w:rPr>
            </w:pPr>
            <w:r>
              <w:rPr>
                <w:rStyle w:val="A6"/>
              </w:rPr>
              <w:t>The Authority has done some extensive modelling to determine the lowest impact on telecommunications licensees in the mobile bands and other bands.</w:t>
            </w:r>
            <w:r w:rsidR="00E64B92" w:rsidRPr="007B375D">
              <w:rPr>
                <w:rFonts w:cs="Times New Roman"/>
                <w:sz w:val="20"/>
                <w:szCs w:val="20"/>
              </w:rPr>
              <w:t xml:space="preserve"> </w:t>
            </w:r>
          </w:p>
          <w:p w14:paraId="662DD0C9" w14:textId="77777777" w:rsidR="00E64B92" w:rsidRPr="007B375D" w:rsidRDefault="00E64B92" w:rsidP="000A4C06">
            <w:pPr>
              <w:pStyle w:val="TableParagraph"/>
              <w:ind w:left="79" w:right="69"/>
              <w:jc w:val="both"/>
              <w:rPr>
                <w:rFonts w:cs="Times New Roman"/>
                <w:sz w:val="20"/>
                <w:szCs w:val="20"/>
              </w:rPr>
            </w:pPr>
          </w:p>
          <w:p w14:paraId="692F3ED2" w14:textId="5489E9E3" w:rsidR="00E64B92" w:rsidRPr="007B375D" w:rsidRDefault="00857942" w:rsidP="000A4C06">
            <w:pPr>
              <w:pStyle w:val="TableParagraph"/>
              <w:ind w:left="79" w:right="69"/>
              <w:jc w:val="both"/>
              <w:rPr>
                <w:rFonts w:cs="Times New Roman"/>
                <w:sz w:val="20"/>
                <w:szCs w:val="20"/>
              </w:rPr>
            </w:pPr>
            <w:r>
              <w:rPr>
                <w:rStyle w:val="A6"/>
              </w:rPr>
              <w:t>The FBF was reduced to 1.5, as recommended by MTC, The base fees was further reduced to N$ 1,100. This would result in a decrease of 18% in mobile spectrum fees and a total overall decrease of 17% in spectrum fees which would reduce the negative impact on MTC’s expenses and financials overall.</w:t>
            </w:r>
            <w:r w:rsidR="00E64B92" w:rsidRPr="007B375D">
              <w:rPr>
                <w:rFonts w:cs="Times New Roman"/>
                <w:sz w:val="20"/>
                <w:szCs w:val="20"/>
              </w:rPr>
              <w:t xml:space="preserve"> </w:t>
            </w:r>
          </w:p>
          <w:p w14:paraId="63C5A71E" w14:textId="77777777" w:rsidR="00E64B92" w:rsidRPr="007B375D" w:rsidRDefault="00E64B92" w:rsidP="000A4C06">
            <w:pPr>
              <w:pStyle w:val="TableParagraph"/>
              <w:ind w:left="79" w:right="69"/>
              <w:jc w:val="both"/>
              <w:rPr>
                <w:rFonts w:cs="Times New Roman"/>
                <w:sz w:val="20"/>
                <w:szCs w:val="20"/>
              </w:rPr>
            </w:pPr>
          </w:p>
          <w:p w14:paraId="6DBDE502" w14:textId="77777777" w:rsidR="00857942" w:rsidRDefault="00857942" w:rsidP="000A4C06">
            <w:pPr>
              <w:pStyle w:val="TableParagraph"/>
              <w:ind w:left="79" w:right="69"/>
              <w:jc w:val="both"/>
              <w:rPr>
                <w:rStyle w:val="A6"/>
              </w:rPr>
            </w:pPr>
            <w:r>
              <w:rPr>
                <w:rStyle w:val="A6"/>
              </w:rPr>
              <w:t xml:space="preserve">The new spectrum bands also allow for more coverage and therefore customers and usage, as well as QoS, will increase. Higher amounts of spectrum and lower spectrum prices are strongly linked to higher population coverage, download speeds and adoption. The Authority is committed to offer more spectrum to licensees to enable increased coverage, speed and adoption but the prices have to reflect the value of the spectrum in question. </w:t>
            </w:r>
          </w:p>
          <w:p w14:paraId="290774B7" w14:textId="77777777" w:rsidR="00857942" w:rsidRDefault="00857942" w:rsidP="000A4C06">
            <w:pPr>
              <w:pStyle w:val="TableParagraph"/>
              <w:ind w:left="79" w:right="69"/>
              <w:jc w:val="both"/>
              <w:rPr>
                <w:rStyle w:val="A6"/>
              </w:rPr>
            </w:pPr>
          </w:p>
          <w:p w14:paraId="1E15550B" w14:textId="77777777" w:rsidR="00857942" w:rsidRDefault="00857942" w:rsidP="000A4C06">
            <w:pPr>
              <w:pStyle w:val="TableParagraph"/>
              <w:ind w:left="79" w:right="69"/>
              <w:jc w:val="both"/>
              <w:rPr>
                <w:rStyle w:val="A6"/>
              </w:rPr>
            </w:pPr>
          </w:p>
          <w:p w14:paraId="336C4231" w14:textId="77777777" w:rsidR="00857942" w:rsidRDefault="00857942" w:rsidP="000A4C06">
            <w:pPr>
              <w:pStyle w:val="TableParagraph"/>
              <w:ind w:left="79" w:right="69"/>
              <w:jc w:val="both"/>
              <w:rPr>
                <w:rStyle w:val="A6"/>
              </w:rPr>
            </w:pPr>
          </w:p>
          <w:p w14:paraId="5B34184F" w14:textId="77777777" w:rsidR="00857942" w:rsidRDefault="00857942" w:rsidP="000A4C06">
            <w:pPr>
              <w:pStyle w:val="TableParagraph"/>
              <w:ind w:left="79" w:right="69"/>
              <w:jc w:val="both"/>
              <w:rPr>
                <w:rStyle w:val="A6"/>
              </w:rPr>
            </w:pPr>
          </w:p>
          <w:p w14:paraId="7895659D" w14:textId="77777777" w:rsidR="00857942" w:rsidRDefault="00857942" w:rsidP="000A4C06">
            <w:pPr>
              <w:pStyle w:val="TableParagraph"/>
              <w:ind w:left="79" w:right="69"/>
              <w:jc w:val="both"/>
              <w:rPr>
                <w:rStyle w:val="A6"/>
              </w:rPr>
            </w:pPr>
          </w:p>
          <w:p w14:paraId="16682CDA" w14:textId="77777777" w:rsidR="00857942" w:rsidRDefault="00857942" w:rsidP="000A4C06">
            <w:pPr>
              <w:pStyle w:val="TableParagraph"/>
              <w:ind w:left="79" w:right="69"/>
              <w:jc w:val="both"/>
              <w:rPr>
                <w:rStyle w:val="A6"/>
              </w:rPr>
            </w:pPr>
          </w:p>
          <w:p w14:paraId="358D6191" w14:textId="77777777" w:rsidR="00857942" w:rsidRDefault="00857942" w:rsidP="000A4C06">
            <w:pPr>
              <w:pStyle w:val="TableParagraph"/>
              <w:ind w:left="79" w:right="69"/>
              <w:jc w:val="both"/>
              <w:rPr>
                <w:rStyle w:val="A6"/>
              </w:rPr>
            </w:pPr>
          </w:p>
          <w:p w14:paraId="0BE4BE43" w14:textId="77777777" w:rsidR="00857942" w:rsidRDefault="00857942" w:rsidP="000A4C06">
            <w:pPr>
              <w:pStyle w:val="TableParagraph"/>
              <w:ind w:left="79" w:right="69"/>
              <w:jc w:val="both"/>
              <w:rPr>
                <w:rStyle w:val="A6"/>
              </w:rPr>
            </w:pPr>
          </w:p>
          <w:p w14:paraId="6163C7DC" w14:textId="77777777" w:rsidR="00857942" w:rsidRDefault="00857942" w:rsidP="000A4C06">
            <w:pPr>
              <w:pStyle w:val="TableParagraph"/>
              <w:ind w:left="79" w:right="69"/>
              <w:jc w:val="both"/>
              <w:rPr>
                <w:rStyle w:val="A6"/>
              </w:rPr>
            </w:pPr>
          </w:p>
          <w:p w14:paraId="4BF7339D" w14:textId="77777777" w:rsidR="00857942" w:rsidRDefault="00857942" w:rsidP="000A4C06">
            <w:pPr>
              <w:pStyle w:val="TableParagraph"/>
              <w:ind w:left="79" w:right="69"/>
              <w:jc w:val="both"/>
              <w:rPr>
                <w:rStyle w:val="A6"/>
              </w:rPr>
            </w:pPr>
          </w:p>
          <w:p w14:paraId="6583EF11" w14:textId="77777777" w:rsidR="00857942" w:rsidRDefault="00857942" w:rsidP="000A4C06">
            <w:pPr>
              <w:pStyle w:val="TableParagraph"/>
              <w:ind w:left="79" w:right="69"/>
              <w:jc w:val="both"/>
              <w:rPr>
                <w:rStyle w:val="A6"/>
              </w:rPr>
            </w:pPr>
          </w:p>
          <w:p w14:paraId="117741A2" w14:textId="165C7BCE" w:rsidR="00857942" w:rsidRDefault="00857942" w:rsidP="000A4C06">
            <w:pPr>
              <w:pStyle w:val="TableParagraph"/>
              <w:ind w:left="79" w:right="69"/>
              <w:jc w:val="both"/>
              <w:rPr>
                <w:rStyle w:val="A6"/>
              </w:rPr>
            </w:pPr>
          </w:p>
          <w:p w14:paraId="75064953" w14:textId="19291934" w:rsidR="000A4C06" w:rsidRDefault="000A4C06" w:rsidP="000A4C06">
            <w:pPr>
              <w:pStyle w:val="TableParagraph"/>
              <w:ind w:left="79" w:right="69"/>
              <w:jc w:val="both"/>
              <w:rPr>
                <w:rStyle w:val="A6"/>
              </w:rPr>
            </w:pPr>
          </w:p>
          <w:p w14:paraId="58B89BD5" w14:textId="48416D9D" w:rsidR="000A4C06" w:rsidRDefault="000A4C06" w:rsidP="000A4C06">
            <w:pPr>
              <w:pStyle w:val="TableParagraph"/>
              <w:ind w:left="79" w:right="69"/>
              <w:jc w:val="both"/>
              <w:rPr>
                <w:rStyle w:val="A6"/>
              </w:rPr>
            </w:pPr>
          </w:p>
          <w:p w14:paraId="4DEA916E" w14:textId="3AD9F5EA" w:rsidR="000A4C06" w:rsidRDefault="00857942" w:rsidP="000A4C06">
            <w:pPr>
              <w:pStyle w:val="TableParagraph"/>
              <w:ind w:left="79" w:right="69"/>
              <w:jc w:val="both"/>
              <w:rPr>
                <w:rStyle w:val="A6"/>
              </w:rPr>
            </w:pPr>
            <w:r>
              <w:rPr>
                <w:rStyle w:val="A6"/>
              </w:rPr>
              <w:t>Morocco and Tunisia cannot be compared to Namibia. Both countries have very mature telecommunications markets compared to Namibia. These two countries also do not have the same jurisdiction and frameworks as Namibia. Fees in Namibia are cost based and other services are not used to cross subsidise spectrum management. There are also no fees received or paid to treasury. This differs from countries in the region and therefore Namibia currently has the lowest fees in the SADC region for mobile services.</w:t>
            </w:r>
            <w:r w:rsidR="000A4C06">
              <w:rPr>
                <w:rStyle w:val="A6"/>
              </w:rPr>
              <w:t xml:space="preserve"> </w:t>
            </w:r>
          </w:p>
          <w:p w14:paraId="255DC057" w14:textId="77777777" w:rsidR="000A4C06" w:rsidRDefault="000A4C06" w:rsidP="000A4C06">
            <w:pPr>
              <w:pStyle w:val="TableParagraph"/>
              <w:ind w:left="79" w:right="69"/>
              <w:jc w:val="both"/>
              <w:rPr>
                <w:rStyle w:val="A6"/>
              </w:rPr>
            </w:pPr>
          </w:p>
          <w:p w14:paraId="7F5BF7F7" w14:textId="0644C83A" w:rsidR="000A4C06" w:rsidRDefault="00857942" w:rsidP="000A4C06">
            <w:pPr>
              <w:pStyle w:val="TableParagraph"/>
              <w:ind w:left="79" w:right="69"/>
              <w:jc w:val="both"/>
              <w:rPr>
                <w:rStyle w:val="A6"/>
              </w:rPr>
            </w:pPr>
            <w:r>
              <w:rPr>
                <w:rStyle w:val="A6"/>
              </w:rPr>
              <w:t>The FBF reflects the characteristics of the Namibian market which also differs from other markets in terms of maturity, demography, typography, and jurisdiction. The 1.5 refers to the scarcity of the spectrum allocated and therefore, the Authority is of the opinion that a factor of 1.5 reflects the Namibian conditions and market dynamics. The requirement for continuous spectrum blocks from 80 to 100 MHz to support newer technologies affects spectrum scarcity.</w:t>
            </w:r>
            <w:r w:rsidR="000A4C06">
              <w:rPr>
                <w:rStyle w:val="A6"/>
              </w:rPr>
              <w:t xml:space="preserve"> </w:t>
            </w:r>
          </w:p>
          <w:p w14:paraId="062FBA17" w14:textId="77777777" w:rsidR="000A4C06" w:rsidRDefault="000A4C06" w:rsidP="000A4C06">
            <w:pPr>
              <w:pStyle w:val="TableParagraph"/>
              <w:ind w:left="79" w:right="69"/>
              <w:jc w:val="both"/>
              <w:rPr>
                <w:rStyle w:val="A6"/>
              </w:rPr>
            </w:pPr>
          </w:p>
          <w:p w14:paraId="425A150A" w14:textId="43F04EC2" w:rsidR="00857942" w:rsidRPr="000A4C06" w:rsidRDefault="00857942" w:rsidP="000A4C06">
            <w:pPr>
              <w:pStyle w:val="TableParagraph"/>
              <w:ind w:left="79" w:right="69"/>
              <w:jc w:val="both"/>
              <w:rPr>
                <w:color w:val="221E1F"/>
                <w:sz w:val="20"/>
                <w:szCs w:val="20"/>
              </w:rPr>
            </w:pPr>
            <w:r>
              <w:rPr>
                <w:rStyle w:val="A6"/>
              </w:rPr>
              <w:t xml:space="preserve">The formulae utilised addresses the specific conditions in Namibia. Furthermore, the Authority is cognisance of the differences between mobile, fixed and satellite services as is evident in the separate frequency band factors applied to each of these services depending on the characteristics of such services and inclusion of a geographical factor to provide for lower formulae values in cases where rural populations are served </w:t>
            </w:r>
          </w:p>
        </w:tc>
        <w:bookmarkStart w:id="0" w:name="_GoBack"/>
        <w:bookmarkEnd w:id="0"/>
      </w:tr>
      <w:tr w:rsidR="00857942" w:rsidRPr="00513BF0" w14:paraId="4985701D" w14:textId="77777777" w:rsidTr="00EB3C93">
        <w:trPr>
          <w:trHeight w:val="216"/>
        </w:trPr>
        <w:tc>
          <w:tcPr>
            <w:tcW w:w="8647" w:type="dxa"/>
            <w:gridSpan w:val="2"/>
            <w:shd w:val="clear" w:color="auto" w:fill="auto"/>
            <w:vAlign w:val="center"/>
          </w:tcPr>
          <w:p w14:paraId="55DAE4B9" w14:textId="77777777" w:rsidR="00857942" w:rsidRPr="00513BF0" w:rsidRDefault="00857942" w:rsidP="000C2AED">
            <w:pPr>
              <w:pStyle w:val="TableParagraph"/>
              <w:spacing w:before="27"/>
              <w:ind w:left="79" w:right="69"/>
              <w:jc w:val="center"/>
              <w:rPr>
                <w:rFonts w:cs="Times New Roman"/>
                <w:sz w:val="20"/>
                <w:szCs w:val="20"/>
              </w:rPr>
            </w:pPr>
            <w:r>
              <w:rPr>
                <w:rFonts w:cs="Times New Roman"/>
                <w:b/>
                <w:sz w:val="20"/>
                <w:szCs w:val="20"/>
              </w:rPr>
              <w:t>Calculations considering omitted factor of 0.25</w:t>
            </w:r>
          </w:p>
        </w:tc>
      </w:tr>
      <w:tr w:rsidR="00857942" w:rsidRPr="00513BF0" w14:paraId="78A3A00D" w14:textId="77777777" w:rsidTr="00EB3C93">
        <w:trPr>
          <w:trHeight w:val="1306"/>
        </w:trPr>
        <w:tc>
          <w:tcPr>
            <w:tcW w:w="8647" w:type="dxa"/>
            <w:gridSpan w:val="2"/>
          </w:tcPr>
          <w:p w14:paraId="1F2AD963" w14:textId="77777777" w:rsidR="00857942" w:rsidRDefault="00857942" w:rsidP="000C2AED">
            <w:pPr>
              <w:pStyle w:val="Pa12"/>
              <w:jc w:val="both"/>
              <w:rPr>
                <w:rStyle w:val="A6"/>
              </w:rPr>
            </w:pPr>
            <w:r>
              <w:rPr>
                <w:rStyle w:val="A6"/>
              </w:rPr>
              <w:t xml:space="preserve">Formula for fixed and mobile satellite = BV x </w:t>
            </w:r>
            <w:proofErr w:type="spellStart"/>
            <w:r>
              <w:rPr>
                <w:rStyle w:val="A6"/>
              </w:rPr>
              <w:t>FBF</w:t>
            </w:r>
            <w:proofErr w:type="spellEnd"/>
            <w:r>
              <w:rPr>
                <w:rStyle w:val="A6"/>
              </w:rPr>
              <w:t xml:space="preserve"> x CF x </w:t>
            </w:r>
            <w:proofErr w:type="spellStart"/>
            <w:r>
              <w:rPr>
                <w:rStyle w:val="A6"/>
              </w:rPr>
              <w:t>SHRF</w:t>
            </w:r>
            <w:proofErr w:type="spellEnd"/>
            <w:r>
              <w:rPr>
                <w:rStyle w:val="A6"/>
              </w:rPr>
              <w:t xml:space="preserve"> x </w:t>
            </w:r>
            <w:proofErr w:type="spellStart"/>
            <w:r>
              <w:rPr>
                <w:rStyle w:val="A6"/>
              </w:rPr>
              <w:t>GEOF</w:t>
            </w:r>
            <w:proofErr w:type="spellEnd"/>
            <w:r>
              <w:rPr>
                <w:rStyle w:val="A6"/>
              </w:rPr>
              <w:t xml:space="preserve"> x BW</w:t>
            </w:r>
          </w:p>
          <w:p w14:paraId="49E25E11" w14:textId="77777777" w:rsidR="00857942" w:rsidRPr="003D3597" w:rsidRDefault="00857942" w:rsidP="000C2AED">
            <w:pPr>
              <w:rPr>
                <w:lang/>
              </w:rPr>
            </w:pPr>
          </w:p>
          <w:p w14:paraId="0C3F875F" w14:textId="77777777" w:rsidR="00857942" w:rsidRDefault="00857942" w:rsidP="000C2AED">
            <w:pPr>
              <w:pStyle w:val="ListParagraph"/>
              <w:numPr>
                <w:ilvl w:val="0"/>
                <w:numId w:val="32"/>
              </w:numPr>
              <w:rPr>
                <w:rStyle w:val="A6"/>
              </w:rPr>
            </w:pPr>
            <w:r>
              <w:rPr>
                <w:rStyle w:val="A6"/>
              </w:rPr>
              <w:t>National licence (1000 MHz bandwidth, low and high population density)</w:t>
            </w:r>
          </w:p>
          <w:p w14:paraId="7C390F24" w14:textId="77777777" w:rsidR="00857942" w:rsidRDefault="00857942" w:rsidP="00857942">
            <w:pPr>
              <w:pStyle w:val="ListParagraph"/>
              <w:numPr>
                <w:ilvl w:val="0"/>
                <w:numId w:val="33"/>
              </w:numPr>
              <w:rPr>
                <w:rStyle w:val="A6"/>
              </w:rPr>
            </w:pPr>
            <w:r>
              <w:rPr>
                <w:rStyle w:val="A6"/>
              </w:rPr>
              <w:t>.25 x 1 x 1 x 30 x 550 = 4,125,000.00 NAD</w:t>
            </w:r>
          </w:p>
          <w:p w14:paraId="3406CACB" w14:textId="77777777" w:rsidR="00857942" w:rsidRDefault="00857942" w:rsidP="000C2AED">
            <w:pPr>
              <w:rPr>
                <w:rStyle w:val="A6"/>
              </w:rPr>
            </w:pPr>
          </w:p>
          <w:p w14:paraId="039EAB30" w14:textId="77777777" w:rsidR="00857942" w:rsidRDefault="00857942" w:rsidP="000C2AED">
            <w:pPr>
              <w:pStyle w:val="ListParagraph"/>
              <w:numPr>
                <w:ilvl w:val="0"/>
                <w:numId w:val="32"/>
              </w:numPr>
              <w:rPr>
                <w:rStyle w:val="A6"/>
              </w:rPr>
            </w:pPr>
            <w:r w:rsidRPr="003D3597">
              <w:rPr>
                <w:rStyle w:val="A6"/>
              </w:rPr>
              <w:t>National licence (1000 MHz bandwidth, low population density)</w:t>
            </w:r>
          </w:p>
          <w:p w14:paraId="7919F0F4" w14:textId="0F46FE81" w:rsidR="00857942" w:rsidRDefault="00857942" w:rsidP="00EB3C93">
            <w:pPr>
              <w:ind w:left="720"/>
              <w:rPr>
                <w:rStyle w:val="A6"/>
              </w:rPr>
            </w:pPr>
            <w:r w:rsidRPr="003D3597">
              <w:rPr>
                <w:rStyle w:val="A6"/>
              </w:rPr>
              <w:t>1000 x 0.25 x 0.5 x 1 x 30 x 550 = 2,062,500.00 NAD</w:t>
            </w:r>
          </w:p>
          <w:p w14:paraId="733DBA65" w14:textId="77777777" w:rsidR="00857942" w:rsidRDefault="00857942" w:rsidP="000C2AED">
            <w:pPr>
              <w:ind w:left="360"/>
              <w:rPr>
                <w:rStyle w:val="A6"/>
              </w:rPr>
            </w:pPr>
          </w:p>
          <w:p w14:paraId="2224BB57" w14:textId="77777777" w:rsidR="00857942" w:rsidRPr="003D3597" w:rsidRDefault="00857942" w:rsidP="000C2AED">
            <w:pPr>
              <w:pStyle w:val="ListParagraph"/>
              <w:numPr>
                <w:ilvl w:val="0"/>
                <w:numId w:val="32"/>
              </w:numPr>
              <w:rPr>
                <w:color w:val="221E1F"/>
                <w:sz w:val="20"/>
                <w:szCs w:val="20"/>
              </w:rPr>
            </w:pPr>
            <w:r w:rsidRPr="003D3597">
              <w:rPr>
                <w:sz w:val="20"/>
                <w:szCs w:val="20"/>
                <w:lang w:val="en-US"/>
              </w:rPr>
              <w:t>Large geographical area (1000 MHz bandwidth, low and high population density)</w:t>
            </w:r>
          </w:p>
          <w:p w14:paraId="7633BBD0" w14:textId="0A5E3E8B" w:rsidR="00857942" w:rsidRDefault="00857942" w:rsidP="00EB3C93">
            <w:pPr>
              <w:ind w:left="720"/>
              <w:rPr>
                <w:sz w:val="20"/>
                <w:szCs w:val="20"/>
                <w:lang w:val="en-US"/>
              </w:rPr>
            </w:pPr>
            <w:r w:rsidRPr="003D3597">
              <w:rPr>
                <w:sz w:val="20"/>
                <w:szCs w:val="20"/>
                <w:lang w:val="en-US"/>
              </w:rPr>
              <w:t>1000 x 0.25 x 1 x 1 x 3 x 550 = 412,500.00 NAD</w:t>
            </w:r>
          </w:p>
          <w:p w14:paraId="39B91825" w14:textId="77777777" w:rsidR="00857942" w:rsidRDefault="00857942" w:rsidP="000C2AED">
            <w:pPr>
              <w:rPr>
                <w:sz w:val="20"/>
                <w:szCs w:val="20"/>
                <w:lang w:val="en-US"/>
              </w:rPr>
            </w:pPr>
          </w:p>
          <w:p w14:paraId="0CE00768" w14:textId="77777777" w:rsidR="00857942" w:rsidRDefault="00857942" w:rsidP="00EB3C93">
            <w:pPr>
              <w:pStyle w:val="Pa4"/>
              <w:jc w:val="both"/>
              <w:rPr>
                <w:color w:val="221E1F"/>
                <w:sz w:val="20"/>
                <w:szCs w:val="20"/>
              </w:rPr>
            </w:pPr>
            <w:r>
              <w:rPr>
                <w:rStyle w:val="A6"/>
              </w:rPr>
              <w:t xml:space="preserve">The calculations indicate that licensees can choose from different options most applicable to their different business cases. If a large geographical area is chosen and not national coverage the total spectrum fees for VSAT for 1000MHz bandwidth would only be N$ 412,500 whereas the current fees for 54 MHz bandwidth N$ 315, 576 for national coverage. This provides licensees with flexibility in how they apply for and utilise spectrum efficiently. </w:t>
            </w:r>
          </w:p>
          <w:p w14:paraId="0988CA98" w14:textId="77777777" w:rsidR="00857942" w:rsidRDefault="00857942" w:rsidP="000C2AED">
            <w:pPr>
              <w:rPr>
                <w:sz w:val="20"/>
                <w:szCs w:val="20"/>
                <w:lang w:val="en-US"/>
              </w:rPr>
            </w:pPr>
          </w:p>
          <w:p w14:paraId="5FD0EA54" w14:textId="77777777" w:rsidR="00857942" w:rsidRPr="003D3597" w:rsidRDefault="00857942" w:rsidP="000C2AED">
            <w:pPr>
              <w:rPr>
                <w:b/>
                <w:bCs/>
                <w:sz w:val="20"/>
                <w:szCs w:val="20"/>
                <w:lang w:val="en-US"/>
              </w:rPr>
            </w:pPr>
            <w:r w:rsidRPr="003D3597">
              <w:rPr>
                <w:b/>
                <w:bCs/>
                <w:sz w:val="20"/>
                <w:szCs w:val="20"/>
                <w:lang w:val="en-US"/>
              </w:rPr>
              <w:t>MTC Satellite:</w:t>
            </w:r>
          </w:p>
          <w:p w14:paraId="6CBA92CC" w14:textId="7A5A9AC4" w:rsidR="00857942" w:rsidRPr="003D3597" w:rsidRDefault="00857942" w:rsidP="00EB3C93">
            <w:pPr>
              <w:pStyle w:val="BodyText"/>
              <w:spacing w:before="6"/>
              <w:ind w:left="567" w:hanging="567"/>
              <w:rPr>
                <w:sz w:val="20"/>
                <w:szCs w:val="20"/>
              </w:rPr>
            </w:pPr>
            <w:r w:rsidRPr="003D3597">
              <w:rPr>
                <w:sz w:val="20"/>
                <w:szCs w:val="20"/>
              </w:rPr>
              <w:t xml:space="preserve">1. </w:t>
            </w:r>
            <w:r w:rsidR="00EB3C93">
              <w:rPr>
                <w:rFonts w:cs="Times New Roman"/>
                <w:sz w:val="20"/>
                <w:szCs w:val="20"/>
              </w:rPr>
              <w:tab/>
            </w:r>
            <w:r w:rsidRPr="003D3597">
              <w:rPr>
                <w:sz w:val="20"/>
                <w:szCs w:val="20"/>
              </w:rPr>
              <w:t>Formula for fixed and mobile satellite = BV x FBF x CF x SHRF x GEOF x BW</w:t>
            </w:r>
          </w:p>
          <w:p w14:paraId="4C9E86BB" w14:textId="77777777" w:rsidR="00857942" w:rsidRPr="003D3597" w:rsidRDefault="00857942" w:rsidP="00EB3C93">
            <w:pPr>
              <w:ind w:left="567"/>
              <w:rPr>
                <w:color w:val="221E1F"/>
                <w:sz w:val="20"/>
                <w:szCs w:val="20"/>
              </w:rPr>
            </w:pPr>
            <w:r w:rsidRPr="003D3597">
              <w:rPr>
                <w:sz w:val="20"/>
                <w:szCs w:val="20"/>
                <w:lang w:val="en-US"/>
              </w:rPr>
              <w:t>5 x 0.25 x 30 x 1 x 1 x 550 = 20,625.00 NAD</w:t>
            </w:r>
            <w:r>
              <w:rPr>
                <w:rStyle w:val="A6"/>
              </w:rPr>
              <w:t xml:space="preserve">. </w:t>
            </w:r>
          </w:p>
        </w:tc>
      </w:tr>
    </w:tbl>
    <w:p w14:paraId="3E5B2C93" w14:textId="4D75C7AF" w:rsidR="00B865C8" w:rsidRDefault="00B865C8" w:rsidP="00B865C8">
      <w:pPr>
        <w:pStyle w:val="BodyText"/>
        <w:spacing w:before="6"/>
        <w:ind w:left="0"/>
        <w:rPr>
          <w:rFonts w:cs="Times New Roman"/>
          <w:sz w:val="20"/>
          <w:szCs w:val="20"/>
        </w:rPr>
      </w:pPr>
    </w:p>
    <w:p w14:paraId="06DA3A00" w14:textId="77777777" w:rsidR="00EF606C" w:rsidRDefault="00EF606C" w:rsidP="00EF606C">
      <w:pPr>
        <w:pStyle w:val="BodyText"/>
        <w:spacing w:before="6"/>
        <w:ind w:left="0"/>
        <w:rPr>
          <w:rFonts w:cs="Times New Roman"/>
          <w:sz w:val="20"/>
          <w:szCs w:val="20"/>
        </w:rPr>
      </w:pPr>
    </w:p>
    <w:p w14:paraId="7CEFC612" w14:textId="77777777" w:rsidR="00EF606C" w:rsidRPr="00EF606C" w:rsidRDefault="00EF606C" w:rsidP="00EF606C">
      <w:pPr>
        <w:pStyle w:val="REG-P0"/>
        <w:jc w:val="center"/>
        <w:rPr>
          <w:b/>
        </w:rPr>
      </w:pPr>
      <w:r w:rsidRPr="00EF606C">
        <w:rPr>
          <w:b/>
        </w:rPr>
        <w:t>ANNEXURE B</w:t>
      </w:r>
    </w:p>
    <w:p w14:paraId="158EA9F6" w14:textId="77777777" w:rsidR="00EF606C" w:rsidRPr="00EF606C" w:rsidRDefault="00EF606C" w:rsidP="00EF606C">
      <w:pPr>
        <w:pStyle w:val="REG-P0"/>
        <w:jc w:val="center"/>
        <w:rPr>
          <w:b/>
        </w:rPr>
      </w:pPr>
    </w:p>
    <w:p w14:paraId="1D1AFAF1" w14:textId="26777BEE" w:rsidR="00EF606C" w:rsidRPr="00EF606C" w:rsidRDefault="00EF606C" w:rsidP="00EF606C">
      <w:pPr>
        <w:pStyle w:val="REG-P0"/>
        <w:jc w:val="center"/>
        <w:rPr>
          <w:rFonts w:eastAsiaTheme="minorHAnsi"/>
          <w:b/>
        </w:rPr>
      </w:pPr>
      <w:r w:rsidRPr="00EF606C">
        <w:rPr>
          <w:rFonts w:eastAsiaTheme="minorHAnsi"/>
          <w:b/>
        </w:rPr>
        <w:t xml:space="preserve">FINAL POSITION PAPER ON THE AMENDMENT TO THE REGULATIONS SETTING OUT FEES FOR SPECTRUM LICENCES, CERTIFICATES </w:t>
      </w:r>
      <w:r>
        <w:rPr>
          <w:rFonts w:eastAsiaTheme="minorHAnsi"/>
          <w:b/>
        </w:rPr>
        <w:br/>
      </w:r>
      <w:r w:rsidRPr="00EF606C">
        <w:rPr>
          <w:rFonts w:eastAsiaTheme="minorHAnsi"/>
          <w:b/>
        </w:rPr>
        <w:t>AND EXAMINATIONS</w:t>
      </w:r>
    </w:p>
    <w:p w14:paraId="2F19A859" w14:textId="78086661" w:rsidR="00EF606C" w:rsidRDefault="00EF606C" w:rsidP="00EF606C">
      <w:pPr>
        <w:pStyle w:val="REG-P0"/>
        <w:jc w:val="center"/>
        <w:rPr>
          <w:b/>
        </w:rPr>
      </w:pPr>
    </w:p>
    <w:p w14:paraId="754C80E2" w14:textId="7055EFFF" w:rsidR="00EF606C" w:rsidRDefault="00EF606C" w:rsidP="00EF606C">
      <w:pPr>
        <w:pStyle w:val="REG-Amend"/>
      </w:pPr>
      <w:r>
        <w:t xml:space="preserve">[This Annexure is reproduced as it appears in the </w:t>
      </w:r>
      <w:r w:rsidRPr="00EF606C">
        <w:rPr>
          <w:i/>
        </w:rPr>
        <w:t>Government Gazette</w:t>
      </w:r>
      <w:r>
        <w:t>, without annotation.]</w:t>
      </w:r>
    </w:p>
    <w:p w14:paraId="20B2F311" w14:textId="77777777" w:rsidR="00EF606C" w:rsidRPr="00EF606C" w:rsidRDefault="00EF606C" w:rsidP="00EF606C">
      <w:pPr>
        <w:pStyle w:val="REG-P0"/>
        <w:jc w:val="center"/>
        <w:rPr>
          <w:b/>
        </w:rPr>
      </w:pPr>
    </w:p>
    <w:p w14:paraId="065C2C09" w14:textId="77777777" w:rsidR="00EF606C" w:rsidRPr="00EF606C" w:rsidRDefault="00EF606C" w:rsidP="00EF606C">
      <w:pPr>
        <w:pStyle w:val="REG-P0"/>
        <w:rPr>
          <w:rFonts w:eastAsiaTheme="minorHAnsi"/>
          <w:b/>
        </w:rPr>
      </w:pPr>
      <w:r w:rsidRPr="00EF606C">
        <w:rPr>
          <w:rFonts w:eastAsiaTheme="minorHAnsi"/>
          <w:b/>
        </w:rPr>
        <w:t>1.</w:t>
      </w:r>
      <w:r w:rsidRPr="00EF606C">
        <w:rPr>
          <w:rFonts w:eastAsiaTheme="minorHAnsi"/>
          <w:b/>
        </w:rPr>
        <w:tab/>
        <w:t>INTRODUCTION</w:t>
      </w:r>
    </w:p>
    <w:p w14:paraId="1912169C" w14:textId="77777777" w:rsidR="00EF606C" w:rsidRDefault="00EF606C" w:rsidP="00EF606C">
      <w:pPr>
        <w:pStyle w:val="REG-P0"/>
        <w:rPr>
          <w:lang w:val="en-US" w:eastAsia="en-US"/>
        </w:rPr>
      </w:pPr>
    </w:p>
    <w:p w14:paraId="65FA2122" w14:textId="7CB92BC3" w:rsidR="00EF606C" w:rsidRDefault="00EF606C" w:rsidP="00EF606C">
      <w:pPr>
        <w:pStyle w:val="REG-P0"/>
        <w:rPr>
          <w:lang/>
        </w:rPr>
      </w:pPr>
      <w:r w:rsidRPr="00C975C5">
        <w:rPr>
          <w:lang/>
        </w:rPr>
        <w:t>The Communications Regulatory Authority of Namibia (CRAN) was tasked in terms of section</w:t>
      </w:r>
      <w:r>
        <w:rPr>
          <w:lang w:val="en-US"/>
        </w:rPr>
        <w:t xml:space="preserve"> </w:t>
      </w:r>
      <w:r w:rsidRPr="00C975C5">
        <w:rPr>
          <w:lang/>
        </w:rPr>
        <w:t>2(h) of the Communications Act, 2009 (Act No. 8 of 2009) to “stimulate the commercial development and use of the radio frequency spectrum in the best interests of Namibia”. Spectrum is a limited resource and therefore the main rationale for charging a price for spectrum, whether through upfront fees or annual charges (or both), is to promote its efficient use.</w:t>
      </w:r>
    </w:p>
    <w:p w14:paraId="47D5F39C" w14:textId="77777777" w:rsidR="00EF606C" w:rsidRPr="00C975C5" w:rsidRDefault="00EF606C" w:rsidP="00EF606C">
      <w:pPr>
        <w:pStyle w:val="REG-P0"/>
        <w:rPr>
          <w:lang/>
        </w:rPr>
      </w:pPr>
    </w:p>
    <w:p w14:paraId="75EF94D7" w14:textId="77777777" w:rsidR="00EF606C" w:rsidRDefault="00EF606C" w:rsidP="00EF606C">
      <w:pPr>
        <w:pStyle w:val="REG-P0"/>
        <w:rPr>
          <w:lang/>
        </w:rPr>
      </w:pPr>
      <w:r w:rsidRPr="00C975C5">
        <w:rPr>
          <w:lang/>
        </w:rPr>
        <w:t>CRAN reviews spectrum fees every three to five years to ensure certainty and transparency of fees. The purpose of this paper is therefore to explain how CRAN derives spectrum fees and the principles used in doing so. The following principles are taken into consideration when spectrum fees are determined:</w:t>
      </w:r>
    </w:p>
    <w:p w14:paraId="032DEEE6" w14:textId="77777777" w:rsidR="00EF606C" w:rsidRDefault="00EF606C" w:rsidP="00EF606C">
      <w:pPr>
        <w:pStyle w:val="REG-P0"/>
        <w:rPr>
          <w:lang/>
        </w:rPr>
      </w:pPr>
    </w:p>
    <w:p w14:paraId="1432AB86" w14:textId="77777777" w:rsidR="00EF606C"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Simplicity in charges to ensure that they are easy understandable, practical and minimise collection cost;</w:t>
      </w:r>
    </w:p>
    <w:p w14:paraId="3FDAC253"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consider the inflationary impact by means of the CPI since 2020; </w:t>
      </w:r>
    </w:p>
    <w:p w14:paraId="465DAE90"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achieve the aims of cost recovery, cost-reflectiveness, efficiency, fairness and cost consciousness; and </w:t>
      </w:r>
    </w:p>
    <w:p w14:paraId="12FE9DF0" w14:textId="77777777" w:rsidR="00EF606C" w:rsidRDefault="00EF606C" w:rsidP="00EF606C">
      <w:pPr>
        <w:pStyle w:val="REG-P0"/>
        <w:tabs>
          <w:tab w:val="clear" w:pos="567"/>
          <w:tab w:val="left" w:pos="709"/>
        </w:tabs>
        <w:ind w:left="709" w:hanging="709"/>
        <w:rPr>
          <w:rFonts w:eastAsiaTheme="minorHAnsi"/>
          <w:noProof w:val="0"/>
          <w:color w:val="221E1F"/>
          <w:lang/>
        </w:rPr>
      </w:pPr>
      <w:r w:rsidRPr="00C975C5">
        <w:rPr>
          <w:rFonts w:eastAsiaTheme="minorHAnsi"/>
          <w:noProof w:val="0"/>
          <w:color w:val="221E1F"/>
          <w:lang/>
        </w:rPr>
        <w:t>•</w:t>
      </w:r>
      <w:r>
        <w:rPr>
          <w:rFonts w:eastAsiaTheme="minorHAnsi"/>
          <w:noProof w:val="0"/>
          <w:color w:val="221E1F"/>
          <w:lang/>
        </w:rPr>
        <w:tab/>
      </w:r>
      <w:r w:rsidRPr="00C975C5">
        <w:rPr>
          <w:rFonts w:eastAsiaTheme="minorHAnsi"/>
          <w:noProof w:val="0"/>
          <w:color w:val="221E1F"/>
          <w:lang/>
        </w:rPr>
        <w:t>The demand for, and applicant profile involved in the different spectrum licences and</w:t>
      </w:r>
      <w:r>
        <w:rPr>
          <w:rFonts w:eastAsiaTheme="minorHAnsi"/>
          <w:noProof w:val="0"/>
          <w:color w:val="221E1F"/>
          <w:lang w:val="en-US"/>
        </w:rPr>
        <w:t xml:space="preserve"> </w:t>
      </w:r>
      <w:r w:rsidRPr="00C975C5">
        <w:rPr>
          <w:rFonts w:eastAsiaTheme="minorHAnsi"/>
          <w:noProof w:val="0"/>
          <w:color w:val="221E1F"/>
          <w:lang/>
        </w:rPr>
        <w:t>spectrum use.</w:t>
      </w:r>
    </w:p>
    <w:p w14:paraId="4CFDA893" w14:textId="77777777" w:rsidR="00EF606C" w:rsidRDefault="00EF606C" w:rsidP="00EF606C">
      <w:pPr>
        <w:pStyle w:val="REG-P0"/>
        <w:tabs>
          <w:tab w:val="clear" w:pos="567"/>
          <w:tab w:val="left" w:pos="709"/>
        </w:tabs>
        <w:ind w:left="709" w:hanging="709"/>
        <w:rPr>
          <w:rFonts w:eastAsiaTheme="minorHAnsi"/>
          <w:noProof w:val="0"/>
          <w:color w:val="221E1F"/>
          <w:lang/>
        </w:rPr>
      </w:pPr>
    </w:p>
    <w:p w14:paraId="33CBE789" w14:textId="3B35EF91" w:rsidR="00EF606C" w:rsidRDefault="00EF606C" w:rsidP="00EF606C">
      <w:pPr>
        <w:pStyle w:val="REG-P0"/>
        <w:rPr>
          <w:lang/>
        </w:rPr>
      </w:pPr>
      <w:r w:rsidRPr="00C975C5">
        <w:rPr>
          <w:lang/>
        </w:rPr>
        <w:t>Spectrum management includes activities such as planning spectrum utilisation, allocating and assigning spectrum licences, coordinating shared spectrum use, harmonising regional and global spectrum standards and monitoring and controlling its actual use. High-level economic, technical and social objectives (mainly related to universal access/service) associated with spectrum use have evolved with the spectrum management reform trend prevalent in the past ten years with less focus on the traditional command and control approach and greater emphasis on market-based systems. High-level policy objectives require consistency in regulatory approaches to matters such as access, competition, non-discrimination, user protection, equity and fairness in the manner spectrum is allocated and assigned to users. Today, the largest competitive enabler in the market is spectrum.</w:t>
      </w:r>
    </w:p>
    <w:p w14:paraId="307E2FEA" w14:textId="77777777" w:rsidR="00EF606C" w:rsidRPr="00C975C5" w:rsidRDefault="00EF606C" w:rsidP="00EF606C">
      <w:pPr>
        <w:pStyle w:val="REG-P0"/>
        <w:rPr>
          <w:lang/>
        </w:rPr>
      </w:pPr>
    </w:p>
    <w:p w14:paraId="7400DFDF" w14:textId="77777777" w:rsidR="00EF606C" w:rsidRDefault="00EF606C" w:rsidP="00EF606C">
      <w:pPr>
        <w:pStyle w:val="REG-P0"/>
        <w:rPr>
          <w:lang/>
        </w:rPr>
      </w:pPr>
      <w:r w:rsidRPr="00C975C5">
        <w:rPr>
          <w:lang/>
        </w:rPr>
        <w:t>The determination of spectrum prices and establishment of spectrum fees are closely linked to economic and market conditions, technical factors such as which technologies and services are being used or deployed, the efficiency and quality of those technologies and services, and how spectrum is assigned to spectrum users.</w:t>
      </w:r>
    </w:p>
    <w:p w14:paraId="6099733C" w14:textId="77777777" w:rsidR="00EF606C" w:rsidRDefault="00EF606C" w:rsidP="00EF606C">
      <w:pPr>
        <w:pStyle w:val="REG-P0"/>
        <w:rPr>
          <w:lang/>
        </w:rPr>
      </w:pPr>
    </w:p>
    <w:p w14:paraId="79E69D22" w14:textId="77777777" w:rsidR="00EF606C" w:rsidRPr="00EF606C" w:rsidRDefault="00EF606C" w:rsidP="00EF606C">
      <w:pPr>
        <w:pStyle w:val="REG-P0"/>
        <w:rPr>
          <w:rFonts w:eastAsiaTheme="majorEastAsia"/>
          <w:b/>
        </w:rPr>
      </w:pPr>
      <w:r w:rsidRPr="00EF606C">
        <w:rPr>
          <w:b/>
        </w:rPr>
        <w:t>2</w:t>
      </w:r>
      <w:r w:rsidRPr="00EF606C">
        <w:rPr>
          <w:rFonts w:eastAsiaTheme="majorEastAsia"/>
          <w:b/>
        </w:rPr>
        <w:t>.</w:t>
      </w:r>
      <w:r w:rsidRPr="00EF606C">
        <w:rPr>
          <w:rFonts w:eastAsiaTheme="majorEastAsia"/>
          <w:b/>
        </w:rPr>
        <w:tab/>
        <w:t>COST RECOVERY</w:t>
      </w:r>
    </w:p>
    <w:p w14:paraId="1F27277A" w14:textId="77777777" w:rsidR="00EF606C" w:rsidRPr="00EF606C" w:rsidRDefault="00EF606C" w:rsidP="00EF606C">
      <w:pPr>
        <w:pStyle w:val="REG-P0"/>
        <w:rPr>
          <w:b/>
          <w:lang w:val="en-US" w:eastAsia="en-US"/>
        </w:rPr>
      </w:pPr>
    </w:p>
    <w:p w14:paraId="3C222C31" w14:textId="77777777" w:rsidR="00EF606C" w:rsidRDefault="00EF606C" w:rsidP="00EF606C">
      <w:pPr>
        <w:pStyle w:val="REG-P0"/>
        <w:rPr>
          <w:lang/>
        </w:rPr>
      </w:pPr>
      <w:r w:rsidRPr="00C975C5">
        <w:rPr>
          <w:lang/>
        </w:rPr>
        <w:t>CRAN is mandated in terms of section 99 of the Act with the full scope of activities related to spectrum management. CRAN is self-funded and therefore needs to recover its operational and capital costs in respect of spectrum management based on the following aspects:</w:t>
      </w:r>
    </w:p>
    <w:p w14:paraId="06062879" w14:textId="77777777" w:rsidR="00EF606C" w:rsidRDefault="00EF606C" w:rsidP="00EF606C">
      <w:pPr>
        <w:pStyle w:val="REG-P0"/>
        <w:rPr>
          <w:lang/>
        </w:rPr>
      </w:pPr>
    </w:p>
    <w:p w14:paraId="354B672D"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Capital costs related to spectrum monitoring equipment.</w:t>
      </w:r>
    </w:p>
    <w:p w14:paraId="28C1EC2F"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Operational and maintenance costs related to spectrum monitoring and enforcement of spectrum licence conditions. </w:t>
      </w:r>
    </w:p>
    <w:p w14:paraId="328EA1D0" w14:textId="77777777" w:rsidR="00EF606C" w:rsidRDefault="00EF606C" w:rsidP="00EF606C">
      <w:pPr>
        <w:pStyle w:val="REG-P0"/>
        <w:tabs>
          <w:tab w:val="clear" w:pos="567"/>
          <w:tab w:val="left" w:pos="709"/>
        </w:tabs>
        <w:ind w:left="709" w:hanging="709"/>
        <w:rPr>
          <w:rFonts w:eastAsiaTheme="minorHAnsi"/>
          <w:noProof w:val="0"/>
          <w:color w:val="221E1F"/>
          <w:lang/>
        </w:rPr>
      </w:pPr>
      <w:r w:rsidRPr="00C975C5">
        <w:rPr>
          <w:rFonts w:eastAsiaTheme="minorHAnsi"/>
          <w:noProof w:val="0"/>
          <w:color w:val="221E1F"/>
          <w:lang/>
        </w:rPr>
        <w:t>•</w:t>
      </w:r>
      <w:r>
        <w:rPr>
          <w:rFonts w:eastAsiaTheme="minorHAnsi"/>
          <w:noProof w:val="0"/>
          <w:color w:val="221E1F"/>
          <w:lang/>
        </w:rPr>
        <w:tab/>
      </w:r>
      <w:r w:rsidRPr="00C975C5">
        <w:rPr>
          <w:rFonts w:eastAsiaTheme="minorHAnsi"/>
          <w:noProof w:val="0"/>
          <w:color w:val="221E1F"/>
          <w:lang/>
        </w:rPr>
        <w:t>Administrative expenses such as staffing, training and development costs, costs in respect of adhering to regulatory processes and legislation, office rental, planning and implementation of spectrum allocations and assignments in adherence to ITU regulations, licensing and investigations.</w:t>
      </w:r>
    </w:p>
    <w:p w14:paraId="24E28121" w14:textId="77777777" w:rsidR="00EF606C" w:rsidRDefault="00EF606C" w:rsidP="00EF606C">
      <w:pPr>
        <w:pStyle w:val="REG-P0"/>
        <w:tabs>
          <w:tab w:val="clear" w:pos="567"/>
          <w:tab w:val="left" w:pos="709"/>
        </w:tabs>
        <w:ind w:left="709" w:hanging="709"/>
        <w:rPr>
          <w:rFonts w:eastAsiaTheme="minorHAnsi"/>
          <w:noProof w:val="0"/>
          <w:color w:val="221E1F"/>
          <w:lang/>
        </w:rPr>
      </w:pPr>
    </w:p>
    <w:p w14:paraId="20809D4A" w14:textId="77777777" w:rsidR="00EF606C" w:rsidRDefault="00EF606C" w:rsidP="00EF606C">
      <w:pPr>
        <w:pStyle w:val="REG-P0"/>
        <w:rPr>
          <w:lang/>
        </w:rPr>
      </w:pPr>
      <w:r w:rsidRPr="00C975C5">
        <w:rPr>
          <w:lang/>
        </w:rPr>
        <w:t>CRAN started with a process to allocate the different costs to the various revenue streams utilised by CRAN to cover its costs. The previous review of spectrum fees was done in 2020.</w:t>
      </w:r>
    </w:p>
    <w:p w14:paraId="011EF29C" w14:textId="77777777" w:rsidR="00EF606C" w:rsidRDefault="00EF606C" w:rsidP="00EF606C">
      <w:pPr>
        <w:pStyle w:val="REG-P0"/>
        <w:rPr>
          <w:lang/>
        </w:rPr>
      </w:pPr>
    </w:p>
    <w:p w14:paraId="1B4DEC2B" w14:textId="77777777" w:rsidR="00EF606C" w:rsidRPr="00EF606C" w:rsidRDefault="00EF606C" w:rsidP="00EF606C">
      <w:pPr>
        <w:pStyle w:val="REG-P0"/>
        <w:ind w:left="567" w:hanging="567"/>
        <w:rPr>
          <w:rFonts w:eastAsiaTheme="minorHAnsi"/>
          <w:b/>
        </w:rPr>
      </w:pPr>
      <w:r w:rsidRPr="00EF606C">
        <w:rPr>
          <w:rFonts w:eastAsiaTheme="minorHAnsi"/>
          <w:b/>
        </w:rPr>
        <w:t>3.</w:t>
      </w:r>
      <w:r w:rsidRPr="00EF606C">
        <w:rPr>
          <w:rFonts w:eastAsiaTheme="minorHAnsi"/>
          <w:b/>
        </w:rPr>
        <w:tab/>
        <w:t>INTERNATIONAL BEST PRACTICE AND TRENDS IN CHARGING SPECTRUM FEES</w:t>
      </w:r>
    </w:p>
    <w:p w14:paraId="1769E885" w14:textId="77777777" w:rsidR="00EF606C" w:rsidRDefault="00EF606C" w:rsidP="00EF606C">
      <w:pPr>
        <w:pStyle w:val="REG-P0"/>
        <w:rPr>
          <w:lang w:val="en-US" w:eastAsia="en-US"/>
        </w:rPr>
      </w:pPr>
    </w:p>
    <w:p w14:paraId="5509EC73" w14:textId="77777777" w:rsidR="00EF606C" w:rsidRDefault="00EF606C" w:rsidP="00EF606C">
      <w:pPr>
        <w:pStyle w:val="REG-P0"/>
        <w:rPr>
          <w:lang/>
        </w:rPr>
      </w:pPr>
      <w:r w:rsidRPr="00C975C5">
        <w:rPr>
          <w:lang/>
        </w:rPr>
        <w:t>Spectrum management is the combination of administrative and technical procedures necessary to ensure the efficient utilisation of the radio-frequency spectrum by all radio-communication services.</w:t>
      </w:r>
    </w:p>
    <w:p w14:paraId="78C0EDD3" w14:textId="77777777" w:rsidR="00EF606C" w:rsidRPr="00C975C5" w:rsidRDefault="00EF606C" w:rsidP="00EF606C">
      <w:pPr>
        <w:pStyle w:val="REG-P0"/>
        <w:rPr>
          <w:lang/>
        </w:rPr>
      </w:pPr>
    </w:p>
    <w:p w14:paraId="1C70AB58" w14:textId="77777777" w:rsidR="00EF606C" w:rsidRPr="00C975C5" w:rsidRDefault="00EF606C" w:rsidP="00EF606C">
      <w:pPr>
        <w:pStyle w:val="REG-P0"/>
        <w:rPr>
          <w:lang/>
        </w:rPr>
      </w:pPr>
      <w:r w:rsidRPr="00C975C5">
        <w:rPr>
          <w:lang/>
        </w:rPr>
        <w:t xml:space="preserve">The telecommunication sector, including radio-communications, is organised internationally within the framework of the International Telecommunication Union (ITU), which provides the basic framework for the global coordination and management of the radio-frequency spectrum. </w:t>
      </w:r>
    </w:p>
    <w:p w14:paraId="296A13D4" w14:textId="77777777" w:rsidR="00EF606C" w:rsidRDefault="00EF606C" w:rsidP="00EF606C">
      <w:pPr>
        <w:pStyle w:val="REG-P0"/>
        <w:rPr>
          <w:lang/>
        </w:rPr>
      </w:pPr>
      <w:r w:rsidRPr="00C975C5">
        <w:rPr>
          <w:lang/>
        </w:rPr>
        <w:t>National spectrum management principles should reflect economic and behavioural aspects as follows:</w:t>
      </w:r>
    </w:p>
    <w:p w14:paraId="65878315" w14:textId="77777777" w:rsidR="00EF606C" w:rsidRDefault="00EF606C" w:rsidP="00EF606C">
      <w:pPr>
        <w:pStyle w:val="REG-P0"/>
        <w:rPr>
          <w:lang/>
        </w:rPr>
      </w:pPr>
    </w:p>
    <w:p w14:paraId="1ABC9905"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Spectrum should be allocated to the highest value use or uses to ensure maximum benefits to society are realised. </w:t>
      </w:r>
    </w:p>
    <w:p w14:paraId="504706DE"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Mechanisms should be put in place to enable and encourage spectrum to move to its highest value use. </w:t>
      </w:r>
    </w:p>
    <w:p w14:paraId="4FDF5960"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Greater access to spectrum will be facilitated when the least cost and least restrictive approach is chosen in achieving spectrum management goals and objectives. </w:t>
      </w:r>
    </w:p>
    <w:p w14:paraId="467492D6"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To the extent possible, regulators and spectrum managers need to promote both regulatory certainty and flexibility in how spectrum is used. </w:t>
      </w:r>
    </w:p>
    <w:p w14:paraId="01320937"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Balance should be achieved between the cost of interference and the benefits obtainable from greater spectrum utilisation. </w:t>
      </w:r>
    </w:p>
    <w:p w14:paraId="779844EA"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Fairness and objectivity require that fees are based on objective factors and all licence holders in each frequency band should be treated on an equitable basis. This would preclude, for example, different treatment of different users in each frequency band. </w:t>
      </w:r>
    </w:p>
    <w:p w14:paraId="2798BF38" w14:textId="77777777" w:rsidR="00EF606C" w:rsidRPr="00C975C5"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 xml:space="preserve">Transparency requires that the basis on which fees are calculated should be made clear in a published document resulting from consultation with stakeholders and that all fees should be set based on a published schedule. </w:t>
      </w:r>
    </w:p>
    <w:p w14:paraId="29EC9040" w14:textId="77777777" w:rsidR="00EF606C" w:rsidRDefault="00EF606C" w:rsidP="00EF606C">
      <w:pPr>
        <w:autoSpaceDE w:val="0"/>
        <w:autoSpaceDN w:val="0"/>
        <w:adjustRightInd w:val="0"/>
        <w:spacing w:line="241" w:lineRule="atLeast"/>
        <w:ind w:left="720" w:hanging="720"/>
        <w:jc w:val="both"/>
        <w:rPr>
          <w:rFonts w:cs="Times New Roman"/>
          <w:noProof w:val="0"/>
          <w:color w:val="221E1F"/>
          <w:lang/>
        </w:rPr>
      </w:pPr>
      <w:r w:rsidRPr="00C975C5">
        <w:rPr>
          <w:rFonts w:cs="Times New Roman"/>
          <w:noProof w:val="0"/>
          <w:color w:val="221E1F"/>
          <w:lang/>
        </w:rPr>
        <w:t>•</w:t>
      </w:r>
      <w:r>
        <w:rPr>
          <w:rFonts w:cs="Times New Roman"/>
          <w:noProof w:val="0"/>
          <w:color w:val="221E1F"/>
          <w:lang/>
        </w:rPr>
        <w:tab/>
      </w:r>
      <w:r w:rsidRPr="00C975C5">
        <w:rPr>
          <w:rFonts w:cs="Times New Roman"/>
          <w:noProof w:val="0"/>
          <w:color w:val="221E1F"/>
          <w:lang/>
        </w:rPr>
        <w:t>Administrative costs will be lower if the fee schedule is simple to administer. The simplest fee schedule would be one involving a flat fee payment; however, this may not promote efficient spectrum use.</w:t>
      </w:r>
    </w:p>
    <w:p w14:paraId="7366B6F9" w14:textId="77777777" w:rsidR="00EF606C" w:rsidRPr="006247C7"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C975C5">
        <w:rPr>
          <w:noProof w:val="0"/>
          <w:color w:val="221E1F"/>
          <w:lang/>
        </w:rPr>
        <w:t>Administrative simplicity needs to be balanced against the requirement to encourage efficiency of spectrum use if fees are set taking account of parameters such as bandwidth, frequency band or coverage.</w:t>
      </w:r>
    </w:p>
    <w:p w14:paraId="4686527C" w14:textId="77777777" w:rsidR="00EF606C" w:rsidRDefault="00EF606C" w:rsidP="00EF606C">
      <w:pPr>
        <w:pStyle w:val="REG-P0"/>
        <w:ind w:left="567" w:hanging="567"/>
        <w:rPr>
          <w:rFonts w:eastAsiaTheme="minorHAnsi"/>
          <w:noProof w:val="0"/>
          <w:color w:val="221E1F"/>
          <w:lang/>
        </w:rPr>
      </w:pPr>
    </w:p>
    <w:p w14:paraId="2A174BC5" w14:textId="77777777" w:rsidR="00EF606C" w:rsidRDefault="00EF606C" w:rsidP="00EF606C">
      <w:pPr>
        <w:pStyle w:val="REG-P0"/>
        <w:rPr>
          <w:lang/>
        </w:rPr>
      </w:pPr>
      <w:r w:rsidRPr="009704EC">
        <w:rPr>
          <w:lang/>
        </w:rPr>
        <w:t>Some additional principles such as the following could also be considered:</w:t>
      </w:r>
    </w:p>
    <w:p w14:paraId="5AC28D8C" w14:textId="77777777" w:rsidR="00EF606C" w:rsidRDefault="00EF606C" w:rsidP="00EF606C">
      <w:pPr>
        <w:pStyle w:val="REG-P0"/>
        <w:rPr>
          <w:lang/>
        </w:rPr>
      </w:pPr>
    </w:p>
    <w:p w14:paraId="74BD0A8C" w14:textId="77777777" w:rsidR="00EF606C" w:rsidRPr="009704EC"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rFonts w:cs="Times New Roman"/>
          <w:noProof w:val="0"/>
          <w:color w:val="221E1F"/>
          <w:lang/>
        </w:rPr>
        <w:t xml:space="preserve">Spectrum fees should be reviewed at suitable intervals to cater for changes in economic KPIs (key performance indicators) or advancement in technologies resulting in increased demand of a particular band. </w:t>
      </w:r>
    </w:p>
    <w:p w14:paraId="134AA322" w14:textId="77777777" w:rsidR="00EF606C"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rFonts w:cs="Times New Roman"/>
          <w:noProof w:val="0"/>
          <w:color w:val="221E1F"/>
          <w:lang/>
        </w:rPr>
        <w:t>Mechanisms should be in place to avoid, detect and where necessary prevent spectrum hoarding, which will deter competition.</w:t>
      </w:r>
    </w:p>
    <w:p w14:paraId="31611603" w14:textId="77777777" w:rsidR="00EF606C" w:rsidRPr="006247C7"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noProof w:val="0"/>
          <w:color w:val="221E1F"/>
          <w:lang/>
        </w:rPr>
        <w:t>A balance should be established between financial approach and other key facets such as regulatory (competition), and social (universal service).</w:t>
      </w:r>
    </w:p>
    <w:p w14:paraId="74962F94" w14:textId="77777777" w:rsidR="00EF606C" w:rsidRDefault="00EF606C" w:rsidP="00EF606C">
      <w:pPr>
        <w:pStyle w:val="REG-P0"/>
        <w:ind w:left="567" w:hanging="567"/>
        <w:rPr>
          <w:rFonts w:eastAsiaTheme="minorHAnsi"/>
          <w:noProof w:val="0"/>
          <w:color w:val="221E1F"/>
          <w:lang/>
        </w:rPr>
      </w:pPr>
    </w:p>
    <w:p w14:paraId="40AC2D56" w14:textId="77777777" w:rsidR="00EF606C" w:rsidRDefault="00EF606C" w:rsidP="00EF606C">
      <w:pPr>
        <w:pStyle w:val="REG-P0"/>
      </w:pPr>
      <w:r w:rsidRPr="009704EC">
        <w:t>CRAN uses a number of these to allocate spectrum including but not limited to the following:</w:t>
      </w:r>
    </w:p>
    <w:p w14:paraId="28541DBA" w14:textId="77777777" w:rsidR="00EF606C" w:rsidRDefault="00EF606C" w:rsidP="00EF606C">
      <w:pPr>
        <w:pStyle w:val="REG-P0"/>
      </w:pPr>
    </w:p>
    <w:p w14:paraId="3E05281C" w14:textId="77777777" w:rsidR="00EF606C" w:rsidRPr="009704EC"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rFonts w:cs="Times New Roman"/>
          <w:noProof w:val="0"/>
          <w:color w:val="221E1F"/>
          <w:lang/>
        </w:rPr>
        <w:t>Administrative fees;</w:t>
      </w:r>
    </w:p>
    <w:p w14:paraId="66E09535" w14:textId="77777777" w:rsidR="00EF606C"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rFonts w:cs="Times New Roman"/>
          <w:noProof w:val="0"/>
          <w:color w:val="221E1F"/>
          <w:lang/>
        </w:rPr>
        <w:t>Formulae based fees to promote the efficient use of spectrum; and</w:t>
      </w:r>
    </w:p>
    <w:p w14:paraId="50C906B1" w14:textId="77777777" w:rsidR="00EF606C" w:rsidRPr="006247C7" w:rsidRDefault="00EF606C" w:rsidP="00EF606C">
      <w:pPr>
        <w:autoSpaceDE w:val="0"/>
        <w:autoSpaceDN w:val="0"/>
        <w:adjustRightInd w:val="0"/>
        <w:spacing w:line="241" w:lineRule="atLeast"/>
        <w:ind w:left="720" w:hanging="720"/>
        <w:jc w:val="both"/>
        <w:rPr>
          <w:rFonts w:cs="Times New Roman"/>
          <w:noProof w:val="0"/>
          <w:color w:val="221E1F"/>
          <w:lang/>
        </w:rPr>
      </w:pPr>
      <w:r w:rsidRPr="009704EC">
        <w:rPr>
          <w:rFonts w:cs="Times New Roman"/>
          <w:noProof w:val="0"/>
          <w:color w:val="221E1F"/>
          <w:lang/>
        </w:rPr>
        <w:t>•</w:t>
      </w:r>
      <w:r>
        <w:rPr>
          <w:rFonts w:cs="Times New Roman"/>
          <w:noProof w:val="0"/>
          <w:color w:val="221E1F"/>
          <w:lang/>
        </w:rPr>
        <w:tab/>
      </w:r>
      <w:r w:rsidRPr="009704EC">
        <w:rPr>
          <w:noProof w:val="0"/>
          <w:color w:val="221E1F"/>
          <w:lang/>
        </w:rPr>
        <w:t>Spectrum Auctions</w:t>
      </w:r>
    </w:p>
    <w:p w14:paraId="4B12987B" w14:textId="77777777" w:rsidR="00EF606C" w:rsidRDefault="00EF606C" w:rsidP="00EF606C">
      <w:pPr>
        <w:pStyle w:val="REG-P0"/>
        <w:rPr>
          <w:rFonts w:eastAsiaTheme="minorHAnsi"/>
          <w:lang/>
        </w:rPr>
      </w:pPr>
    </w:p>
    <w:p w14:paraId="23707AE8" w14:textId="77777777" w:rsidR="00EF606C" w:rsidRPr="00EF606C" w:rsidRDefault="00EF606C" w:rsidP="00EF606C">
      <w:pPr>
        <w:pStyle w:val="REG-P0"/>
        <w:rPr>
          <w:rFonts w:eastAsiaTheme="minorHAnsi"/>
          <w:b/>
        </w:rPr>
      </w:pPr>
      <w:r w:rsidRPr="00EF606C">
        <w:rPr>
          <w:rFonts w:eastAsiaTheme="minorHAnsi"/>
          <w:b/>
        </w:rPr>
        <w:t>4.</w:t>
      </w:r>
      <w:r w:rsidRPr="00EF606C">
        <w:rPr>
          <w:rFonts w:eastAsiaTheme="minorHAnsi"/>
          <w:b/>
        </w:rPr>
        <w:tab/>
        <w:t>COST CALCULATIONS</w:t>
      </w:r>
    </w:p>
    <w:p w14:paraId="2D27D00D" w14:textId="77777777" w:rsidR="00EF606C" w:rsidRDefault="00EF606C" w:rsidP="00EF606C">
      <w:pPr>
        <w:pStyle w:val="REG-P0"/>
        <w:rPr>
          <w:lang w:val="en-US" w:eastAsia="en-US"/>
        </w:rPr>
      </w:pPr>
    </w:p>
    <w:p w14:paraId="6B655E48" w14:textId="77777777" w:rsidR="00EF606C" w:rsidRDefault="00EF606C" w:rsidP="00EF606C">
      <w:pPr>
        <w:pStyle w:val="REG-P0"/>
      </w:pPr>
      <w:r w:rsidRPr="009704EC">
        <w:t>CRAN determines the administrative fees for spectrum every 3 to 5 years as previously mentioned. In order to determine the fees, the cost of managing spectrum was taken into consideration for the three years 2021/2022 to 2023/2024. The total budgeted cost was estimated as follows:</w:t>
      </w:r>
    </w:p>
    <w:p w14:paraId="2ADEEF03" w14:textId="77777777" w:rsidR="00EF606C" w:rsidRDefault="00EF606C" w:rsidP="00EF606C">
      <w:pPr>
        <w:pStyle w:val="REG-P0"/>
      </w:pPr>
    </w:p>
    <w:tbl>
      <w:tblPr>
        <w:tblW w:w="878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0"/>
        <w:gridCol w:w="1417"/>
        <w:gridCol w:w="1701"/>
        <w:gridCol w:w="1701"/>
        <w:gridCol w:w="1673"/>
      </w:tblGrid>
      <w:tr w:rsidR="00EF606C" w:rsidRPr="009704EC" w14:paraId="76069EF2" w14:textId="77777777" w:rsidTr="00906924">
        <w:trPr>
          <w:trHeight w:val="133"/>
        </w:trPr>
        <w:tc>
          <w:tcPr>
            <w:tcW w:w="8782" w:type="dxa"/>
            <w:gridSpan w:val="5"/>
            <w:shd w:val="clear" w:color="auto" w:fill="D9D9D9" w:themeFill="background1" w:themeFillShade="D9"/>
          </w:tcPr>
          <w:p w14:paraId="45840D7F"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Table 1: Projected Budget as per 2020 Spectrum Fee Determination </w:t>
            </w:r>
          </w:p>
        </w:tc>
      </w:tr>
      <w:tr w:rsidR="00EF606C" w:rsidRPr="009704EC" w14:paraId="5183FA29" w14:textId="77777777" w:rsidTr="00906924">
        <w:trPr>
          <w:trHeight w:val="133"/>
        </w:trPr>
        <w:tc>
          <w:tcPr>
            <w:tcW w:w="2290" w:type="dxa"/>
            <w:shd w:val="clear" w:color="auto" w:fill="D9D9D9" w:themeFill="background1" w:themeFillShade="D9"/>
          </w:tcPr>
          <w:p w14:paraId="770C93A3"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BUDGET </w:t>
            </w:r>
          </w:p>
        </w:tc>
        <w:tc>
          <w:tcPr>
            <w:tcW w:w="1417" w:type="dxa"/>
            <w:shd w:val="clear" w:color="auto" w:fill="D9D9D9" w:themeFill="background1" w:themeFillShade="D9"/>
          </w:tcPr>
          <w:p w14:paraId="3888B972"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2021/2022 </w:t>
            </w:r>
          </w:p>
        </w:tc>
        <w:tc>
          <w:tcPr>
            <w:tcW w:w="1701" w:type="dxa"/>
            <w:shd w:val="clear" w:color="auto" w:fill="D9D9D9" w:themeFill="background1" w:themeFillShade="D9"/>
          </w:tcPr>
          <w:p w14:paraId="703F0D2C"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2022/2023 </w:t>
            </w:r>
          </w:p>
        </w:tc>
        <w:tc>
          <w:tcPr>
            <w:tcW w:w="1701" w:type="dxa"/>
            <w:shd w:val="clear" w:color="auto" w:fill="D9D9D9" w:themeFill="background1" w:themeFillShade="D9"/>
          </w:tcPr>
          <w:p w14:paraId="3DE94B1E"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2023/2024 </w:t>
            </w:r>
          </w:p>
        </w:tc>
        <w:tc>
          <w:tcPr>
            <w:tcW w:w="1673" w:type="dxa"/>
            <w:shd w:val="clear" w:color="auto" w:fill="D9D9D9" w:themeFill="background1" w:themeFillShade="D9"/>
          </w:tcPr>
          <w:p w14:paraId="39F39ABC"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Total </w:t>
            </w:r>
          </w:p>
        </w:tc>
      </w:tr>
      <w:tr w:rsidR="00EF606C" w:rsidRPr="009704EC" w14:paraId="5A7D9233" w14:textId="77777777" w:rsidTr="000C2AED">
        <w:trPr>
          <w:trHeight w:val="246"/>
        </w:trPr>
        <w:tc>
          <w:tcPr>
            <w:tcW w:w="2290" w:type="dxa"/>
            <w:vAlign w:val="center"/>
          </w:tcPr>
          <w:p w14:paraId="4F20C4E5"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Total Capex allocated to</w:t>
            </w:r>
          </w:p>
          <w:p w14:paraId="372E6267"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Spectrum Management</w:t>
            </w:r>
          </w:p>
        </w:tc>
        <w:tc>
          <w:tcPr>
            <w:tcW w:w="1417" w:type="dxa"/>
            <w:vAlign w:val="center"/>
          </w:tcPr>
          <w:p w14:paraId="0981E1C3"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9,850,000</w:t>
            </w:r>
          </w:p>
        </w:tc>
        <w:tc>
          <w:tcPr>
            <w:tcW w:w="1701" w:type="dxa"/>
            <w:vAlign w:val="center"/>
          </w:tcPr>
          <w:p w14:paraId="56BEAF3C"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10,000,000</w:t>
            </w:r>
          </w:p>
        </w:tc>
        <w:tc>
          <w:tcPr>
            <w:tcW w:w="1701" w:type="dxa"/>
            <w:vAlign w:val="center"/>
          </w:tcPr>
          <w:p w14:paraId="6C556FE1"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10,150,000</w:t>
            </w:r>
          </w:p>
        </w:tc>
        <w:tc>
          <w:tcPr>
            <w:tcW w:w="1673" w:type="dxa"/>
            <w:vAlign w:val="center"/>
          </w:tcPr>
          <w:p w14:paraId="24B1F7D6"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30,000,000</w:t>
            </w:r>
          </w:p>
        </w:tc>
      </w:tr>
      <w:tr w:rsidR="00EF606C" w:rsidRPr="009704EC" w14:paraId="1ACE32C9" w14:textId="77777777" w:rsidTr="000C2AED">
        <w:trPr>
          <w:trHeight w:val="246"/>
        </w:trPr>
        <w:tc>
          <w:tcPr>
            <w:tcW w:w="2290" w:type="dxa"/>
            <w:vAlign w:val="center"/>
          </w:tcPr>
          <w:p w14:paraId="1E5E96F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Total Opex allocated to Spectrum Management</w:t>
            </w:r>
          </w:p>
        </w:tc>
        <w:tc>
          <w:tcPr>
            <w:tcW w:w="1417" w:type="dxa"/>
            <w:vAlign w:val="center"/>
          </w:tcPr>
          <w:p w14:paraId="2DD2D69A"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18,681,362.08</w:t>
            </w:r>
          </w:p>
        </w:tc>
        <w:tc>
          <w:tcPr>
            <w:tcW w:w="1701" w:type="dxa"/>
            <w:vAlign w:val="center"/>
          </w:tcPr>
          <w:p w14:paraId="0C7FAD5C"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20,701,895</w:t>
            </w:r>
          </w:p>
        </w:tc>
        <w:tc>
          <w:tcPr>
            <w:tcW w:w="1701" w:type="dxa"/>
            <w:vAlign w:val="center"/>
          </w:tcPr>
          <w:p w14:paraId="192A6CFA"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23,014,011</w:t>
            </w:r>
          </w:p>
        </w:tc>
        <w:tc>
          <w:tcPr>
            <w:tcW w:w="1673" w:type="dxa"/>
            <w:vAlign w:val="center"/>
          </w:tcPr>
          <w:p w14:paraId="0BA38266"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62,397,268.08</w:t>
            </w:r>
          </w:p>
        </w:tc>
      </w:tr>
      <w:tr w:rsidR="00EF606C" w:rsidRPr="009704EC" w14:paraId="1C8BFFFB" w14:textId="77777777" w:rsidTr="00906924">
        <w:trPr>
          <w:trHeight w:val="248"/>
        </w:trPr>
        <w:tc>
          <w:tcPr>
            <w:tcW w:w="2290" w:type="dxa"/>
            <w:shd w:val="clear" w:color="auto" w:fill="D9D9D9" w:themeFill="background1" w:themeFillShade="D9"/>
          </w:tcPr>
          <w:p w14:paraId="737F178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Total Projected Cost for </w:t>
            </w:r>
          </w:p>
          <w:p w14:paraId="6DB7171F"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Spectrum </w:t>
            </w:r>
          </w:p>
        </w:tc>
        <w:tc>
          <w:tcPr>
            <w:tcW w:w="1417" w:type="dxa"/>
            <w:shd w:val="clear" w:color="auto" w:fill="D9D9D9" w:themeFill="background1" w:themeFillShade="D9"/>
          </w:tcPr>
          <w:p w14:paraId="23FEE232"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28,531,362.08 </w:t>
            </w:r>
          </w:p>
        </w:tc>
        <w:tc>
          <w:tcPr>
            <w:tcW w:w="1701" w:type="dxa"/>
            <w:shd w:val="clear" w:color="auto" w:fill="D9D9D9" w:themeFill="background1" w:themeFillShade="D9"/>
          </w:tcPr>
          <w:p w14:paraId="04385B3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30,701,894.99 </w:t>
            </w:r>
          </w:p>
        </w:tc>
        <w:tc>
          <w:tcPr>
            <w:tcW w:w="1701" w:type="dxa"/>
            <w:shd w:val="clear" w:color="auto" w:fill="D9D9D9" w:themeFill="background1" w:themeFillShade="D9"/>
          </w:tcPr>
          <w:p w14:paraId="0110895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33,164,010.68 </w:t>
            </w:r>
          </w:p>
        </w:tc>
        <w:tc>
          <w:tcPr>
            <w:tcW w:w="1673" w:type="dxa"/>
            <w:shd w:val="clear" w:color="auto" w:fill="D9D9D9" w:themeFill="background1" w:themeFillShade="D9"/>
          </w:tcPr>
          <w:p w14:paraId="72720DE5"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92,397,267.75 </w:t>
            </w:r>
          </w:p>
        </w:tc>
      </w:tr>
      <w:tr w:rsidR="00EF606C" w:rsidRPr="009704EC" w14:paraId="47F1701F" w14:textId="77777777" w:rsidTr="00906924">
        <w:trPr>
          <w:trHeight w:val="248"/>
        </w:trPr>
        <w:tc>
          <w:tcPr>
            <w:tcW w:w="2290" w:type="dxa"/>
            <w:shd w:val="clear" w:color="auto" w:fill="auto"/>
          </w:tcPr>
          <w:p w14:paraId="41E813E1"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Total Budget for Spectrum as Approved </w:t>
            </w:r>
          </w:p>
        </w:tc>
        <w:tc>
          <w:tcPr>
            <w:tcW w:w="1417" w:type="dxa"/>
            <w:shd w:val="clear" w:color="auto" w:fill="auto"/>
          </w:tcPr>
          <w:p w14:paraId="7F4F7474"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14,933,288 </w:t>
            </w:r>
          </w:p>
        </w:tc>
        <w:tc>
          <w:tcPr>
            <w:tcW w:w="1701" w:type="dxa"/>
            <w:shd w:val="clear" w:color="auto" w:fill="auto"/>
          </w:tcPr>
          <w:p w14:paraId="26337E8D"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27,426,875 </w:t>
            </w:r>
          </w:p>
        </w:tc>
        <w:tc>
          <w:tcPr>
            <w:tcW w:w="1701" w:type="dxa"/>
            <w:shd w:val="clear" w:color="auto" w:fill="auto"/>
          </w:tcPr>
          <w:p w14:paraId="208ABD2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30,349,190 </w:t>
            </w:r>
          </w:p>
        </w:tc>
        <w:tc>
          <w:tcPr>
            <w:tcW w:w="1673" w:type="dxa"/>
            <w:shd w:val="clear" w:color="auto" w:fill="auto"/>
          </w:tcPr>
          <w:p w14:paraId="0587DB37"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i/>
                <w:iCs/>
                <w:noProof w:val="0"/>
                <w:color w:val="221E1F"/>
                <w:sz w:val="20"/>
                <w:szCs w:val="20"/>
                <w:lang/>
              </w:rPr>
              <w:t xml:space="preserve">72,709,353 </w:t>
            </w:r>
          </w:p>
        </w:tc>
      </w:tr>
      <w:tr w:rsidR="00EF606C" w:rsidRPr="009704EC" w14:paraId="13E7E1E0" w14:textId="77777777" w:rsidTr="000C2AED">
        <w:trPr>
          <w:trHeight w:val="134"/>
        </w:trPr>
        <w:tc>
          <w:tcPr>
            <w:tcW w:w="2290" w:type="dxa"/>
          </w:tcPr>
          <w:p w14:paraId="1467365F"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OPEX </w:t>
            </w:r>
          </w:p>
        </w:tc>
        <w:tc>
          <w:tcPr>
            <w:tcW w:w="1417" w:type="dxa"/>
          </w:tcPr>
          <w:p w14:paraId="569D9D92"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13,193,627 </w:t>
            </w:r>
          </w:p>
        </w:tc>
        <w:tc>
          <w:tcPr>
            <w:tcW w:w="1701" w:type="dxa"/>
          </w:tcPr>
          <w:p w14:paraId="77B2D9AE"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11,916,915 </w:t>
            </w:r>
          </w:p>
        </w:tc>
        <w:tc>
          <w:tcPr>
            <w:tcW w:w="1701" w:type="dxa"/>
          </w:tcPr>
          <w:p w14:paraId="2355DAC7"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17,868,636 </w:t>
            </w:r>
          </w:p>
        </w:tc>
        <w:tc>
          <w:tcPr>
            <w:tcW w:w="1673" w:type="dxa"/>
          </w:tcPr>
          <w:p w14:paraId="2FB6D3CB"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42,979,178 </w:t>
            </w:r>
          </w:p>
        </w:tc>
      </w:tr>
      <w:tr w:rsidR="00EF606C" w:rsidRPr="009704EC" w14:paraId="3F09ACE2" w14:textId="77777777" w:rsidTr="000C2AED">
        <w:trPr>
          <w:trHeight w:val="134"/>
        </w:trPr>
        <w:tc>
          <w:tcPr>
            <w:tcW w:w="2290" w:type="dxa"/>
          </w:tcPr>
          <w:p w14:paraId="41D0FAA8"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CAPEX </w:t>
            </w:r>
          </w:p>
        </w:tc>
        <w:tc>
          <w:tcPr>
            <w:tcW w:w="1417" w:type="dxa"/>
          </w:tcPr>
          <w:p w14:paraId="092CE649"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1,739,661 </w:t>
            </w:r>
          </w:p>
        </w:tc>
        <w:tc>
          <w:tcPr>
            <w:tcW w:w="1701" w:type="dxa"/>
          </w:tcPr>
          <w:p w14:paraId="1A8B3D89"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15,509,960 </w:t>
            </w:r>
          </w:p>
        </w:tc>
        <w:tc>
          <w:tcPr>
            <w:tcW w:w="1701" w:type="dxa"/>
          </w:tcPr>
          <w:p w14:paraId="6AC48164"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noProof w:val="0"/>
                <w:color w:val="221E1F"/>
                <w:sz w:val="20"/>
                <w:szCs w:val="20"/>
                <w:lang/>
              </w:rPr>
              <w:t xml:space="preserve">12,480,554 </w:t>
            </w:r>
          </w:p>
        </w:tc>
        <w:tc>
          <w:tcPr>
            <w:tcW w:w="1673" w:type="dxa"/>
          </w:tcPr>
          <w:p w14:paraId="0FA4C441" w14:textId="77777777" w:rsidR="00EF606C" w:rsidRPr="009704EC" w:rsidRDefault="00EF606C" w:rsidP="000C2AED">
            <w:pPr>
              <w:autoSpaceDE w:val="0"/>
              <w:autoSpaceDN w:val="0"/>
              <w:adjustRightInd w:val="0"/>
              <w:spacing w:line="241" w:lineRule="atLeast"/>
              <w:jc w:val="center"/>
              <w:rPr>
                <w:rFonts w:cs="Times New Roman"/>
                <w:noProof w:val="0"/>
                <w:color w:val="221E1F"/>
                <w:sz w:val="20"/>
                <w:szCs w:val="20"/>
                <w:lang/>
              </w:rPr>
            </w:pPr>
            <w:r w:rsidRPr="009704EC">
              <w:rPr>
                <w:rFonts w:cs="Times New Roman"/>
                <w:b/>
                <w:bCs/>
                <w:noProof w:val="0"/>
                <w:color w:val="221E1F"/>
                <w:sz w:val="20"/>
                <w:szCs w:val="20"/>
                <w:lang/>
              </w:rPr>
              <w:t xml:space="preserve">29,730,175 </w:t>
            </w:r>
          </w:p>
        </w:tc>
      </w:tr>
    </w:tbl>
    <w:p w14:paraId="713A2793" w14:textId="77777777" w:rsidR="00EF606C" w:rsidRDefault="00EF606C" w:rsidP="00EF606C">
      <w:pPr>
        <w:pStyle w:val="REG-P0"/>
      </w:pPr>
    </w:p>
    <w:p w14:paraId="5F0D2B8F" w14:textId="77777777" w:rsidR="00EF606C" w:rsidRDefault="00EF606C" w:rsidP="00EF606C">
      <w:pPr>
        <w:pStyle w:val="REG-P0"/>
      </w:pPr>
      <w:r w:rsidRPr="006247C7">
        <w:t>The total budgeted cost for spectrum management over the three years was therefore N$</w:t>
      </w:r>
      <w:r>
        <w:t> </w:t>
      </w:r>
      <w:r w:rsidRPr="00ED2338">
        <w:rPr>
          <w:b/>
        </w:rPr>
        <w:t>92,397,267.76</w:t>
      </w:r>
      <w:r w:rsidRPr="006247C7">
        <w:t>. According to the Audited Financial Statements and provisional financial statements of CRAN the following was budgeted and spent on the management of spectrum.</w:t>
      </w:r>
    </w:p>
    <w:p w14:paraId="174D0237" w14:textId="77777777" w:rsidR="00EF606C" w:rsidRDefault="00EF606C" w:rsidP="00EF606C">
      <w:pPr>
        <w:pStyle w:val="REG-P0"/>
      </w:pPr>
    </w:p>
    <w:tbl>
      <w:tblPr>
        <w:tblW w:w="877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194"/>
        <w:gridCol w:w="2194"/>
        <w:gridCol w:w="2195"/>
      </w:tblGrid>
      <w:tr w:rsidR="00EF606C" w:rsidRPr="006247C7" w14:paraId="32FA4776" w14:textId="77777777" w:rsidTr="00906924">
        <w:trPr>
          <w:trHeight w:val="133"/>
        </w:trPr>
        <w:tc>
          <w:tcPr>
            <w:tcW w:w="8777" w:type="dxa"/>
            <w:gridSpan w:val="4"/>
            <w:shd w:val="clear" w:color="auto" w:fill="D9D9D9" w:themeFill="background1" w:themeFillShade="D9"/>
          </w:tcPr>
          <w:p w14:paraId="005AB5BA"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Table 2: Actual Expenditure and Revenue on Spectrum 2021/2022 to 2022/2023</w:t>
            </w:r>
          </w:p>
        </w:tc>
      </w:tr>
      <w:tr w:rsidR="00EF606C" w:rsidRPr="006247C7" w14:paraId="071CD2C4" w14:textId="77777777" w:rsidTr="00906924">
        <w:trPr>
          <w:trHeight w:val="134"/>
        </w:trPr>
        <w:tc>
          <w:tcPr>
            <w:tcW w:w="2194" w:type="dxa"/>
            <w:shd w:val="clear" w:color="auto" w:fill="D9D9D9" w:themeFill="background1" w:themeFillShade="D9"/>
          </w:tcPr>
          <w:p w14:paraId="469437C2" w14:textId="77777777" w:rsidR="00EF606C" w:rsidRPr="00557E23" w:rsidRDefault="00EF606C" w:rsidP="000C2AED">
            <w:pPr>
              <w:autoSpaceDE w:val="0"/>
              <w:autoSpaceDN w:val="0"/>
              <w:adjustRightInd w:val="0"/>
              <w:spacing w:line="241" w:lineRule="atLeast"/>
              <w:jc w:val="center"/>
              <w:rPr>
                <w:rFonts w:cs="Times New Roman"/>
                <w:noProof w:val="0"/>
                <w:color w:val="221E1F"/>
                <w:sz w:val="20"/>
                <w:szCs w:val="20"/>
                <w:lang w:val="en-US"/>
              </w:rPr>
            </w:pPr>
          </w:p>
        </w:tc>
        <w:tc>
          <w:tcPr>
            <w:tcW w:w="2194" w:type="dxa"/>
            <w:shd w:val="clear" w:color="auto" w:fill="D9D9D9" w:themeFill="background1" w:themeFillShade="D9"/>
          </w:tcPr>
          <w:p w14:paraId="3F2BF70D" w14:textId="77777777" w:rsidR="00EF606C" w:rsidRPr="00557E23" w:rsidRDefault="00EF606C" w:rsidP="000C2AED">
            <w:pPr>
              <w:autoSpaceDE w:val="0"/>
              <w:autoSpaceDN w:val="0"/>
              <w:adjustRightInd w:val="0"/>
              <w:spacing w:line="241" w:lineRule="atLeast"/>
              <w:jc w:val="center"/>
              <w:rPr>
                <w:rFonts w:cs="Times New Roman"/>
                <w:b/>
                <w:bCs/>
                <w:noProof w:val="0"/>
                <w:color w:val="221E1F"/>
                <w:sz w:val="20"/>
                <w:szCs w:val="20"/>
                <w:lang w:val="en-US"/>
              </w:rPr>
            </w:pPr>
            <w:r w:rsidRPr="00557E23">
              <w:rPr>
                <w:rFonts w:cs="Times New Roman"/>
                <w:b/>
                <w:bCs/>
                <w:noProof w:val="0"/>
                <w:color w:val="221E1F"/>
                <w:sz w:val="20"/>
                <w:szCs w:val="20"/>
                <w:lang w:val="en-US"/>
              </w:rPr>
              <w:t>2021/2022</w:t>
            </w:r>
          </w:p>
        </w:tc>
        <w:tc>
          <w:tcPr>
            <w:tcW w:w="2194" w:type="dxa"/>
            <w:shd w:val="clear" w:color="auto" w:fill="D9D9D9" w:themeFill="background1" w:themeFillShade="D9"/>
          </w:tcPr>
          <w:p w14:paraId="14B184F1" w14:textId="77777777" w:rsidR="00EF606C" w:rsidRPr="00557E23" w:rsidRDefault="00EF606C" w:rsidP="000C2AED">
            <w:pPr>
              <w:autoSpaceDE w:val="0"/>
              <w:autoSpaceDN w:val="0"/>
              <w:adjustRightInd w:val="0"/>
              <w:spacing w:line="241" w:lineRule="atLeast"/>
              <w:jc w:val="center"/>
              <w:rPr>
                <w:rFonts w:cs="Times New Roman"/>
                <w:b/>
                <w:bCs/>
                <w:noProof w:val="0"/>
                <w:color w:val="221E1F"/>
                <w:sz w:val="20"/>
                <w:szCs w:val="20"/>
                <w:lang w:val="en-US"/>
              </w:rPr>
            </w:pPr>
            <w:r w:rsidRPr="00557E23">
              <w:rPr>
                <w:rFonts w:cs="Times New Roman"/>
                <w:b/>
                <w:bCs/>
                <w:noProof w:val="0"/>
                <w:color w:val="221E1F"/>
                <w:sz w:val="20"/>
                <w:szCs w:val="20"/>
                <w:lang w:val="en-US"/>
              </w:rPr>
              <w:t>2022/2023</w:t>
            </w:r>
          </w:p>
        </w:tc>
        <w:tc>
          <w:tcPr>
            <w:tcW w:w="2195" w:type="dxa"/>
            <w:shd w:val="clear" w:color="auto" w:fill="D9D9D9" w:themeFill="background1" w:themeFillShade="D9"/>
          </w:tcPr>
          <w:p w14:paraId="7945D582" w14:textId="77777777" w:rsidR="00EF606C" w:rsidRPr="00557E23" w:rsidRDefault="00EF606C" w:rsidP="000C2AED">
            <w:pPr>
              <w:autoSpaceDE w:val="0"/>
              <w:autoSpaceDN w:val="0"/>
              <w:adjustRightInd w:val="0"/>
              <w:spacing w:line="241" w:lineRule="atLeast"/>
              <w:ind w:left="567" w:hanging="567"/>
              <w:jc w:val="center"/>
              <w:rPr>
                <w:rFonts w:cs="Times New Roman"/>
                <w:b/>
                <w:bCs/>
                <w:noProof w:val="0"/>
                <w:color w:val="221E1F"/>
                <w:sz w:val="20"/>
                <w:szCs w:val="20"/>
                <w:lang w:val="en-US"/>
              </w:rPr>
            </w:pPr>
            <w:r w:rsidRPr="00557E23">
              <w:rPr>
                <w:rFonts w:cs="Times New Roman"/>
                <w:b/>
                <w:bCs/>
                <w:noProof w:val="0"/>
                <w:color w:val="221E1F"/>
                <w:sz w:val="20"/>
                <w:szCs w:val="20"/>
                <w:lang w:val="en-US"/>
              </w:rPr>
              <w:t>Total</w:t>
            </w:r>
          </w:p>
        </w:tc>
      </w:tr>
      <w:tr w:rsidR="00EF606C" w:rsidRPr="006247C7" w14:paraId="53FF9A6E" w14:textId="77777777" w:rsidTr="00906924">
        <w:trPr>
          <w:trHeight w:val="134"/>
        </w:trPr>
        <w:tc>
          <w:tcPr>
            <w:tcW w:w="2194" w:type="dxa"/>
            <w:shd w:val="clear" w:color="auto" w:fill="D9D9D9" w:themeFill="background1" w:themeFillShade="D9"/>
          </w:tcPr>
          <w:p w14:paraId="77CE6A76"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Total Costs</w:t>
            </w:r>
          </w:p>
        </w:tc>
        <w:tc>
          <w:tcPr>
            <w:tcW w:w="2194" w:type="dxa"/>
          </w:tcPr>
          <w:p w14:paraId="44D73916" w14:textId="77777777" w:rsidR="00EF606C" w:rsidRPr="006247C7" w:rsidRDefault="00EF606C" w:rsidP="000C2AED">
            <w:pPr>
              <w:autoSpaceDE w:val="0"/>
              <w:autoSpaceDN w:val="0"/>
              <w:adjustRightInd w:val="0"/>
              <w:spacing w:line="241" w:lineRule="atLeast"/>
              <w:jc w:val="center"/>
              <w:rPr>
                <w:rFonts w:cs="Times New Roman"/>
                <w:b/>
                <w:bCs/>
                <w:i/>
                <w:iCs/>
                <w:noProof w:val="0"/>
                <w:color w:val="221E1F"/>
                <w:sz w:val="20"/>
                <w:szCs w:val="20"/>
                <w:lang/>
              </w:rPr>
            </w:pPr>
            <w:r w:rsidRPr="006247C7">
              <w:rPr>
                <w:rFonts w:cs="Times New Roman"/>
                <w:b/>
                <w:bCs/>
                <w:i/>
                <w:iCs/>
                <w:noProof w:val="0"/>
                <w:color w:val="221E1F"/>
                <w:sz w:val="20"/>
                <w:szCs w:val="20"/>
                <w:lang/>
              </w:rPr>
              <w:t>19,363,370</w:t>
            </w:r>
          </w:p>
        </w:tc>
        <w:tc>
          <w:tcPr>
            <w:tcW w:w="2194" w:type="dxa"/>
          </w:tcPr>
          <w:p w14:paraId="0FB5E387" w14:textId="77777777" w:rsidR="00EF606C" w:rsidRPr="006247C7" w:rsidRDefault="00EF606C" w:rsidP="000C2AED">
            <w:pPr>
              <w:autoSpaceDE w:val="0"/>
              <w:autoSpaceDN w:val="0"/>
              <w:adjustRightInd w:val="0"/>
              <w:spacing w:line="241" w:lineRule="atLeast"/>
              <w:jc w:val="center"/>
              <w:rPr>
                <w:rFonts w:cs="Times New Roman"/>
                <w:b/>
                <w:bCs/>
                <w:i/>
                <w:iCs/>
                <w:noProof w:val="0"/>
                <w:color w:val="221E1F"/>
                <w:sz w:val="20"/>
                <w:szCs w:val="20"/>
                <w:lang/>
              </w:rPr>
            </w:pPr>
            <w:r w:rsidRPr="006247C7">
              <w:rPr>
                <w:rFonts w:cs="Times New Roman"/>
                <w:b/>
                <w:bCs/>
                <w:i/>
                <w:iCs/>
                <w:noProof w:val="0"/>
                <w:color w:val="221E1F"/>
                <w:sz w:val="20"/>
                <w:szCs w:val="20"/>
                <w:lang/>
              </w:rPr>
              <w:t>27,050,861</w:t>
            </w:r>
          </w:p>
        </w:tc>
        <w:tc>
          <w:tcPr>
            <w:tcW w:w="2195" w:type="dxa"/>
          </w:tcPr>
          <w:p w14:paraId="4FE6600C" w14:textId="77777777" w:rsidR="00EF606C" w:rsidRPr="006247C7" w:rsidRDefault="00EF606C" w:rsidP="000C2AED">
            <w:pPr>
              <w:autoSpaceDE w:val="0"/>
              <w:autoSpaceDN w:val="0"/>
              <w:adjustRightInd w:val="0"/>
              <w:spacing w:line="241" w:lineRule="atLeast"/>
              <w:jc w:val="center"/>
              <w:rPr>
                <w:rFonts w:cs="Times New Roman"/>
                <w:b/>
                <w:bCs/>
                <w:i/>
                <w:iCs/>
                <w:noProof w:val="0"/>
                <w:color w:val="221E1F"/>
                <w:sz w:val="20"/>
                <w:szCs w:val="20"/>
                <w:lang/>
              </w:rPr>
            </w:pPr>
            <w:r w:rsidRPr="006247C7">
              <w:rPr>
                <w:rFonts w:cs="Times New Roman"/>
                <w:b/>
                <w:bCs/>
                <w:i/>
                <w:iCs/>
                <w:noProof w:val="0"/>
                <w:color w:val="221E1F"/>
                <w:sz w:val="20"/>
                <w:szCs w:val="20"/>
                <w:lang/>
              </w:rPr>
              <w:t>46,414,231</w:t>
            </w:r>
          </w:p>
        </w:tc>
      </w:tr>
      <w:tr w:rsidR="00EF606C" w:rsidRPr="006247C7" w14:paraId="4CFD36F5" w14:textId="77777777" w:rsidTr="00906924">
        <w:trPr>
          <w:trHeight w:val="134"/>
        </w:trPr>
        <w:tc>
          <w:tcPr>
            <w:tcW w:w="2194" w:type="dxa"/>
            <w:shd w:val="clear" w:color="auto" w:fill="D9D9D9" w:themeFill="background1" w:themeFillShade="D9"/>
          </w:tcPr>
          <w:p w14:paraId="0FD44149"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OPEX</w:t>
            </w:r>
          </w:p>
        </w:tc>
        <w:tc>
          <w:tcPr>
            <w:tcW w:w="2194" w:type="dxa"/>
          </w:tcPr>
          <w:p w14:paraId="5CD94065"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13,374,999</w:t>
            </w:r>
          </w:p>
        </w:tc>
        <w:tc>
          <w:tcPr>
            <w:tcW w:w="2194" w:type="dxa"/>
          </w:tcPr>
          <w:p w14:paraId="15884959"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15,594,629</w:t>
            </w:r>
          </w:p>
        </w:tc>
        <w:tc>
          <w:tcPr>
            <w:tcW w:w="2195" w:type="dxa"/>
          </w:tcPr>
          <w:p w14:paraId="287288F7"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28,969,628</w:t>
            </w:r>
          </w:p>
        </w:tc>
      </w:tr>
      <w:tr w:rsidR="00EF606C" w:rsidRPr="006247C7" w14:paraId="58439E69" w14:textId="77777777" w:rsidTr="00906924">
        <w:trPr>
          <w:trHeight w:val="134"/>
        </w:trPr>
        <w:tc>
          <w:tcPr>
            <w:tcW w:w="2194" w:type="dxa"/>
            <w:shd w:val="clear" w:color="auto" w:fill="D9D9D9" w:themeFill="background1" w:themeFillShade="D9"/>
          </w:tcPr>
          <w:p w14:paraId="29323CEE"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CAPEX</w:t>
            </w:r>
          </w:p>
        </w:tc>
        <w:tc>
          <w:tcPr>
            <w:tcW w:w="2194" w:type="dxa"/>
          </w:tcPr>
          <w:p w14:paraId="07584DD5"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5,988,371</w:t>
            </w:r>
          </w:p>
        </w:tc>
        <w:tc>
          <w:tcPr>
            <w:tcW w:w="2194" w:type="dxa"/>
          </w:tcPr>
          <w:p w14:paraId="61AE8FE9"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11,456,232</w:t>
            </w:r>
          </w:p>
        </w:tc>
        <w:tc>
          <w:tcPr>
            <w:tcW w:w="2195" w:type="dxa"/>
          </w:tcPr>
          <w:p w14:paraId="00D3CBF1"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17,444,603</w:t>
            </w:r>
          </w:p>
        </w:tc>
      </w:tr>
      <w:tr w:rsidR="00EF606C" w:rsidRPr="006247C7" w14:paraId="22BD8C8C" w14:textId="77777777" w:rsidTr="00906924">
        <w:trPr>
          <w:trHeight w:val="134"/>
        </w:trPr>
        <w:tc>
          <w:tcPr>
            <w:tcW w:w="2194" w:type="dxa"/>
            <w:shd w:val="clear" w:color="auto" w:fill="D9D9D9" w:themeFill="background1" w:themeFillShade="D9"/>
          </w:tcPr>
          <w:p w14:paraId="35211563"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noProof w:val="0"/>
                <w:color w:val="221E1F"/>
                <w:sz w:val="20"/>
                <w:szCs w:val="20"/>
                <w:lang/>
              </w:rPr>
              <w:t>Revenue Received</w:t>
            </w:r>
          </w:p>
        </w:tc>
        <w:tc>
          <w:tcPr>
            <w:tcW w:w="2194" w:type="dxa"/>
          </w:tcPr>
          <w:p w14:paraId="513E43D7"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31,721,847</w:t>
            </w:r>
          </w:p>
        </w:tc>
        <w:tc>
          <w:tcPr>
            <w:tcW w:w="2194" w:type="dxa"/>
          </w:tcPr>
          <w:p w14:paraId="5CBD76E1"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21,496,979</w:t>
            </w:r>
          </w:p>
        </w:tc>
        <w:tc>
          <w:tcPr>
            <w:tcW w:w="2195" w:type="dxa"/>
          </w:tcPr>
          <w:p w14:paraId="6B868587"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53,218,826</w:t>
            </w:r>
          </w:p>
        </w:tc>
      </w:tr>
      <w:tr w:rsidR="00EF606C" w:rsidRPr="006247C7" w14:paraId="57BD2DFF" w14:textId="77777777" w:rsidTr="00906924">
        <w:trPr>
          <w:trHeight w:val="134"/>
        </w:trPr>
        <w:tc>
          <w:tcPr>
            <w:tcW w:w="2194" w:type="dxa"/>
            <w:shd w:val="clear" w:color="auto" w:fill="D9D9D9" w:themeFill="background1" w:themeFillShade="D9"/>
          </w:tcPr>
          <w:p w14:paraId="244FB4C6" w14:textId="1AF0F979" w:rsidR="00EF606C" w:rsidRPr="00775F22" w:rsidRDefault="00EF606C" w:rsidP="00775F22">
            <w:pPr>
              <w:autoSpaceDE w:val="0"/>
              <w:autoSpaceDN w:val="0"/>
              <w:adjustRightInd w:val="0"/>
              <w:spacing w:line="241" w:lineRule="atLeast"/>
              <w:jc w:val="center"/>
              <w:rPr>
                <w:rFonts w:cs="Times New Roman"/>
                <w:noProof w:val="0"/>
                <w:color w:val="221E1F"/>
                <w:sz w:val="20"/>
                <w:szCs w:val="20"/>
                <w:lang/>
              </w:rPr>
            </w:pPr>
            <w:r w:rsidRPr="00557E23">
              <w:rPr>
                <w:rFonts w:cs="Times New Roman"/>
                <w:noProof w:val="0"/>
                <w:color w:val="221E1F"/>
                <w:sz w:val="20"/>
                <w:szCs w:val="20"/>
                <w:lang/>
              </w:rPr>
              <w:t>Revenue Budgetted</w:t>
            </w:r>
          </w:p>
        </w:tc>
        <w:tc>
          <w:tcPr>
            <w:tcW w:w="2194" w:type="dxa"/>
          </w:tcPr>
          <w:p w14:paraId="20D6DB89"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26,243,421</w:t>
            </w:r>
          </w:p>
        </w:tc>
        <w:tc>
          <w:tcPr>
            <w:tcW w:w="2194" w:type="dxa"/>
          </w:tcPr>
          <w:p w14:paraId="6DB0D4CF"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27,293,158</w:t>
            </w:r>
          </w:p>
        </w:tc>
        <w:tc>
          <w:tcPr>
            <w:tcW w:w="2195" w:type="dxa"/>
          </w:tcPr>
          <w:p w14:paraId="33E0F253"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noProof w:val="0"/>
                <w:color w:val="221E1F"/>
                <w:sz w:val="20"/>
                <w:szCs w:val="20"/>
                <w:lang/>
              </w:rPr>
              <w:t>53,536,579</w:t>
            </w:r>
          </w:p>
        </w:tc>
      </w:tr>
      <w:tr w:rsidR="00EF606C" w:rsidRPr="006247C7" w14:paraId="3E62B6A3" w14:textId="77777777" w:rsidTr="00906924">
        <w:trPr>
          <w:trHeight w:val="248"/>
        </w:trPr>
        <w:tc>
          <w:tcPr>
            <w:tcW w:w="2194" w:type="dxa"/>
            <w:shd w:val="clear" w:color="auto" w:fill="D9D9D9" w:themeFill="background1" w:themeFillShade="D9"/>
          </w:tcPr>
          <w:p w14:paraId="0F9A734B"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Over/Under recovery on revenue</w:t>
            </w:r>
          </w:p>
        </w:tc>
        <w:tc>
          <w:tcPr>
            <w:tcW w:w="2194" w:type="dxa"/>
            <w:shd w:val="clear" w:color="auto" w:fill="auto"/>
          </w:tcPr>
          <w:p w14:paraId="3345CE0D"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5,478,426</w:t>
            </w:r>
          </w:p>
        </w:tc>
        <w:tc>
          <w:tcPr>
            <w:tcW w:w="2194" w:type="dxa"/>
            <w:shd w:val="clear" w:color="auto" w:fill="auto"/>
          </w:tcPr>
          <w:p w14:paraId="17FE9F58"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(5,796,179)</w:t>
            </w:r>
          </w:p>
        </w:tc>
        <w:tc>
          <w:tcPr>
            <w:tcW w:w="2195" w:type="dxa"/>
            <w:shd w:val="clear" w:color="auto" w:fill="auto"/>
          </w:tcPr>
          <w:p w14:paraId="1E33A58C"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(317,753)</w:t>
            </w:r>
          </w:p>
        </w:tc>
      </w:tr>
      <w:tr w:rsidR="00EF606C" w:rsidRPr="006247C7" w14:paraId="225BE7AD" w14:textId="77777777" w:rsidTr="00906924">
        <w:trPr>
          <w:trHeight w:val="133"/>
        </w:trPr>
        <w:tc>
          <w:tcPr>
            <w:tcW w:w="2194" w:type="dxa"/>
            <w:shd w:val="clear" w:color="auto" w:fill="D9D9D9" w:themeFill="background1" w:themeFillShade="D9"/>
          </w:tcPr>
          <w:p w14:paraId="6C056FB1"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Over/Under-recovery</w:t>
            </w:r>
          </w:p>
        </w:tc>
        <w:tc>
          <w:tcPr>
            <w:tcW w:w="2194" w:type="dxa"/>
          </w:tcPr>
          <w:p w14:paraId="279AC965"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12,358,477</w:t>
            </w:r>
          </w:p>
        </w:tc>
        <w:tc>
          <w:tcPr>
            <w:tcW w:w="2194" w:type="dxa"/>
          </w:tcPr>
          <w:p w14:paraId="782CF756"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(5,553,882)</w:t>
            </w:r>
          </w:p>
        </w:tc>
        <w:tc>
          <w:tcPr>
            <w:tcW w:w="2195" w:type="dxa"/>
          </w:tcPr>
          <w:p w14:paraId="7019A1AA" w14:textId="77777777" w:rsidR="00EF606C" w:rsidRPr="006247C7" w:rsidRDefault="00EF606C" w:rsidP="000C2AED">
            <w:pPr>
              <w:autoSpaceDE w:val="0"/>
              <w:autoSpaceDN w:val="0"/>
              <w:adjustRightInd w:val="0"/>
              <w:spacing w:line="241" w:lineRule="atLeast"/>
              <w:jc w:val="center"/>
              <w:rPr>
                <w:rFonts w:cs="Times New Roman"/>
                <w:noProof w:val="0"/>
                <w:color w:val="221E1F"/>
                <w:sz w:val="20"/>
                <w:szCs w:val="20"/>
                <w:lang/>
              </w:rPr>
            </w:pPr>
            <w:r w:rsidRPr="006247C7">
              <w:rPr>
                <w:rFonts w:cs="Times New Roman"/>
                <w:b/>
                <w:bCs/>
                <w:i/>
                <w:iCs/>
                <w:noProof w:val="0"/>
                <w:color w:val="221E1F"/>
                <w:sz w:val="20"/>
                <w:szCs w:val="20"/>
                <w:lang/>
              </w:rPr>
              <w:t>6,486,842</w:t>
            </w:r>
          </w:p>
        </w:tc>
      </w:tr>
      <w:tr w:rsidR="00EF606C" w:rsidRPr="006247C7" w14:paraId="64CD9032" w14:textId="77777777" w:rsidTr="00906924">
        <w:trPr>
          <w:trHeight w:val="133"/>
        </w:trPr>
        <w:tc>
          <w:tcPr>
            <w:tcW w:w="8777" w:type="dxa"/>
            <w:gridSpan w:val="4"/>
            <w:shd w:val="clear" w:color="auto" w:fill="D9D9D9" w:themeFill="background1" w:themeFillShade="D9"/>
          </w:tcPr>
          <w:p w14:paraId="3AD3A77F" w14:textId="77777777" w:rsidR="00EF606C" w:rsidRPr="006247C7" w:rsidRDefault="00EF606C" w:rsidP="000C2AED">
            <w:pPr>
              <w:autoSpaceDE w:val="0"/>
              <w:autoSpaceDN w:val="0"/>
              <w:adjustRightInd w:val="0"/>
              <w:spacing w:line="241" w:lineRule="atLeast"/>
              <w:rPr>
                <w:rFonts w:cs="Times New Roman"/>
                <w:noProof w:val="0"/>
                <w:color w:val="221E1F"/>
                <w:sz w:val="20"/>
                <w:szCs w:val="20"/>
                <w:lang/>
              </w:rPr>
            </w:pPr>
            <w:r w:rsidRPr="006247C7">
              <w:rPr>
                <w:rFonts w:cs="Times New Roman"/>
                <w:b/>
                <w:bCs/>
                <w:i/>
                <w:iCs/>
                <w:noProof w:val="0"/>
                <w:color w:val="221E1F"/>
                <w:sz w:val="20"/>
                <w:szCs w:val="20"/>
                <w:lang/>
              </w:rPr>
              <w:t>AFS 2021/2022 and provisional AFS 2022/2023</w:t>
            </w:r>
          </w:p>
        </w:tc>
      </w:tr>
    </w:tbl>
    <w:p w14:paraId="3D21BEEE" w14:textId="77777777" w:rsidR="00EF606C" w:rsidRDefault="00EF606C" w:rsidP="00EF606C">
      <w:pPr>
        <w:pStyle w:val="REG-P0"/>
      </w:pPr>
    </w:p>
    <w:p w14:paraId="52A69876" w14:textId="77777777" w:rsidR="00EF606C" w:rsidRDefault="00EF606C" w:rsidP="00EF606C">
      <w:pPr>
        <w:pStyle w:val="REG-P0"/>
      </w:pPr>
      <w:r w:rsidRPr="006247C7">
        <w:t xml:space="preserve">The over-recovery in 2021/2022 was due to the litigation on the regulatory levy resulting in CRAN not spending the full capital amount as was anticipated to ensure business continuity. The budget, as was approved, was therefore also substantially less. This means that the N$ 6.5 million over-recoveries would have to be subtracted from the next periods’ projected budget. At the same time the revenue received was projected N$ 53,536,579 The actual revenue received was N$ 53,218,826. There was thus an under-recovery of N$ 317,753 bringing the total over-recovery to </w:t>
      </w:r>
      <w:r w:rsidRPr="006247C7">
        <w:rPr>
          <w:b/>
          <w:bCs/>
        </w:rPr>
        <w:t>N$ 6,486,842</w:t>
      </w:r>
      <w:r w:rsidRPr="006247C7">
        <w:t>.</w:t>
      </w:r>
    </w:p>
    <w:p w14:paraId="5C33C533" w14:textId="77777777" w:rsidR="00EF606C" w:rsidRDefault="00EF606C" w:rsidP="00EF606C">
      <w:pPr>
        <w:pStyle w:val="REG-P0"/>
      </w:pPr>
    </w:p>
    <w:tbl>
      <w:tblPr>
        <w:tblStyle w:val="TableGrid"/>
        <w:tblW w:w="0" w:type="auto"/>
        <w:tblLook w:val="04A0" w:firstRow="1" w:lastRow="0" w:firstColumn="1" w:lastColumn="0" w:noHBand="0" w:noVBand="1"/>
      </w:tblPr>
      <w:tblGrid>
        <w:gridCol w:w="2263"/>
        <w:gridCol w:w="1131"/>
        <w:gridCol w:w="1698"/>
        <w:gridCol w:w="1698"/>
        <w:gridCol w:w="1698"/>
      </w:tblGrid>
      <w:tr w:rsidR="00EF606C" w:rsidRPr="00D8792B" w14:paraId="2FEFEF9C" w14:textId="77777777" w:rsidTr="00906924">
        <w:tc>
          <w:tcPr>
            <w:tcW w:w="8488" w:type="dxa"/>
            <w:gridSpan w:val="5"/>
            <w:shd w:val="clear" w:color="auto" w:fill="D9D9D9" w:themeFill="background1" w:themeFillShade="D9"/>
            <w:vAlign w:val="center"/>
          </w:tcPr>
          <w:p w14:paraId="28CF334E" w14:textId="77777777" w:rsidR="00EF606C" w:rsidRPr="00D8792B" w:rsidRDefault="00EF606C" w:rsidP="000C2AED">
            <w:pPr>
              <w:pStyle w:val="Pa1"/>
              <w:jc w:val="center"/>
              <w:rPr>
                <w:b/>
                <w:bCs/>
                <w:color w:val="221E1F"/>
                <w:sz w:val="20"/>
                <w:szCs w:val="20"/>
              </w:rPr>
            </w:pPr>
            <w:r w:rsidRPr="00D8792B">
              <w:rPr>
                <w:rStyle w:val="A6"/>
                <w:b/>
                <w:bCs/>
              </w:rPr>
              <w:t>Table 3: Budgeted Revenue Requirement 2023/2024 to 2026/2027</w:t>
            </w:r>
          </w:p>
        </w:tc>
      </w:tr>
      <w:tr w:rsidR="00EF606C" w:rsidRPr="00D8792B" w14:paraId="4C4A0071" w14:textId="77777777" w:rsidTr="00906924">
        <w:tc>
          <w:tcPr>
            <w:tcW w:w="2263" w:type="dxa"/>
            <w:shd w:val="clear" w:color="auto" w:fill="D9D9D9" w:themeFill="background1" w:themeFillShade="D9"/>
            <w:vAlign w:val="center"/>
          </w:tcPr>
          <w:p w14:paraId="22C7F6F6" w14:textId="77777777" w:rsidR="00EF606C" w:rsidRPr="00D8792B" w:rsidRDefault="00EF606C" w:rsidP="000C2AED">
            <w:pPr>
              <w:pStyle w:val="REG-P0"/>
              <w:jc w:val="center"/>
              <w:rPr>
                <w:sz w:val="20"/>
                <w:szCs w:val="20"/>
              </w:rPr>
            </w:pPr>
          </w:p>
        </w:tc>
        <w:tc>
          <w:tcPr>
            <w:tcW w:w="1131" w:type="dxa"/>
            <w:shd w:val="clear" w:color="auto" w:fill="D9D9D9" w:themeFill="background1" w:themeFillShade="D9"/>
            <w:vAlign w:val="center"/>
          </w:tcPr>
          <w:p w14:paraId="6C59F330" w14:textId="77777777" w:rsidR="00EF606C" w:rsidRPr="00D8792B" w:rsidRDefault="00EF606C" w:rsidP="000C2AED">
            <w:pPr>
              <w:pStyle w:val="REG-P0"/>
              <w:jc w:val="center"/>
              <w:rPr>
                <w:b/>
                <w:bCs/>
                <w:sz w:val="20"/>
                <w:szCs w:val="20"/>
              </w:rPr>
            </w:pPr>
            <w:r w:rsidRPr="00D8792B">
              <w:rPr>
                <w:b/>
                <w:bCs/>
                <w:sz w:val="20"/>
                <w:szCs w:val="20"/>
              </w:rPr>
              <w:t>2023/2024</w:t>
            </w:r>
          </w:p>
        </w:tc>
        <w:tc>
          <w:tcPr>
            <w:tcW w:w="1698" w:type="dxa"/>
            <w:shd w:val="clear" w:color="auto" w:fill="D9D9D9" w:themeFill="background1" w:themeFillShade="D9"/>
            <w:vAlign w:val="center"/>
          </w:tcPr>
          <w:p w14:paraId="51D35EA4" w14:textId="77777777" w:rsidR="00EF606C" w:rsidRPr="00D8792B" w:rsidRDefault="00EF606C" w:rsidP="000C2AED">
            <w:pPr>
              <w:pStyle w:val="REG-P0"/>
              <w:jc w:val="center"/>
              <w:rPr>
                <w:b/>
                <w:bCs/>
                <w:sz w:val="20"/>
                <w:szCs w:val="20"/>
              </w:rPr>
            </w:pPr>
            <w:r w:rsidRPr="00D8792B">
              <w:rPr>
                <w:b/>
                <w:bCs/>
                <w:sz w:val="20"/>
                <w:szCs w:val="20"/>
              </w:rPr>
              <w:t>2024/2025</w:t>
            </w:r>
          </w:p>
        </w:tc>
        <w:tc>
          <w:tcPr>
            <w:tcW w:w="1698" w:type="dxa"/>
            <w:shd w:val="clear" w:color="auto" w:fill="D9D9D9" w:themeFill="background1" w:themeFillShade="D9"/>
            <w:vAlign w:val="center"/>
          </w:tcPr>
          <w:p w14:paraId="34E28A21" w14:textId="77777777" w:rsidR="00EF606C" w:rsidRPr="00D8792B" w:rsidRDefault="00EF606C" w:rsidP="000C2AED">
            <w:pPr>
              <w:pStyle w:val="REG-P0"/>
              <w:jc w:val="center"/>
              <w:rPr>
                <w:b/>
                <w:bCs/>
                <w:sz w:val="20"/>
                <w:szCs w:val="20"/>
              </w:rPr>
            </w:pPr>
            <w:r w:rsidRPr="00D8792B">
              <w:rPr>
                <w:b/>
                <w:bCs/>
                <w:sz w:val="20"/>
                <w:szCs w:val="20"/>
              </w:rPr>
              <w:t>2025/2026</w:t>
            </w:r>
          </w:p>
        </w:tc>
        <w:tc>
          <w:tcPr>
            <w:tcW w:w="1698" w:type="dxa"/>
            <w:shd w:val="clear" w:color="auto" w:fill="D9D9D9" w:themeFill="background1" w:themeFillShade="D9"/>
            <w:vAlign w:val="center"/>
          </w:tcPr>
          <w:p w14:paraId="71D9D194" w14:textId="77777777" w:rsidR="00EF606C" w:rsidRPr="00D8792B" w:rsidRDefault="00EF606C" w:rsidP="000C2AED">
            <w:pPr>
              <w:pStyle w:val="REG-P0"/>
              <w:jc w:val="center"/>
              <w:rPr>
                <w:b/>
                <w:bCs/>
                <w:sz w:val="20"/>
                <w:szCs w:val="20"/>
              </w:rPr>
            </w:pPr>
            <w:r w:rsidRPr="00D8792B">
              <w:rPr>
                <w:b/>
                <w:bCs/>
                <w:sz w:val="20"/>
                <w:szCs w:val="20"/>
              </w:rPr>
              <w:t>Total</w:t>
            </w:r>
          </w:p>
        </w:tc>
      </w:tr>
      <w:tr w:rsidR="00EF606C" w:rsidRPr="00D8792B" w14:paraId="7BCF0073" w14:textId="77777777" w:rsidTr="00906924">
        <w:tc>
          <w:tcPr>
            <w:tcW w:w="2263" w:type="dxa"/>
            <w:shd w:val="clear" w:color="auto" w:fill="D9D9D9" w:themeFill="background1" w:themeFillShade="D9"/>
            <w:vAlign w:val="center"/>
          </w:tcPr>
          <w:p w14:paraId="4DFFDB9F" w14:textId="77777777" w:rsidR="00EF606C" w:rsidRPr="00D8792B" w:rsidRDefault="00EF606C" w:rsidP="000C2AED">
            <w:pPr>
              <w:pStyle w:val="REG-P0"/>
              <w:jc w:val="center"/>
              <w:rPr>
                <w:sz w:val="20"/>
                <w:szCs w:val="20"/>
              </w:rPr>
            </w:pPr>
            <w:r w:rsidRPr="00D8792B">
              <w:rPr>
                <w:sz w:val="20"/>
                <w:szCs w:val="20"/>
              </w:rPr>
              <w:t>Total Costs</w:t>
            </w:r>
          </w:p>
        </w:tc>
        <w:tc>
          <w:tcPr>
            <w:tcW w:w="1131" w:type="dxa"/>
            <w:vAlign w:val="center"/>
          </w:tcPr>
          <w:p w14:paraId="6B99442B" w14:textId="77777777" w:rsidR="00EF606C" w:rsidRPr="00D8792B" w:rsidRDefault="00EF606C" w:rsidP="000C2AED">
            <w:pPr>
              <w:pStyle w:val="Pa1"/>
              <w:jc w:val="center"/>
              <w:rPr>
                <w:b/>
                <w:bCs/>
                <w:color w:val="221E1F"/>
                <w:sz w:val="20"/>
                <w:szCs w:val="20"/>
                <w:lang w:val="en-US"/>
              </w:rPr>
            </w:pPr>
            <w:r w:rsidRPr="00D8792B">
              <w:rPr>
                <w:rStyle w:val="A6"/>
                <w:b/>
                <w:bCs/>
              </w:rPr>
              <w:t>30,349,19</w:t>
            </w:r>
            <w:r w:rsidRPr="00D8792B">
              <w:rPr>
                <w:rStyle w:val="A6"/>
                <w:b/>
                <w:bCs/>
                <w:lang w:val="en-US"/>
              </w:rPr>
              <w:t>0</w:t>
            </w:r>
          </w:p>
        </w:tc>
        <w:tc>
          <w:tcPr>
            <w:tcW w:w="1698" w:type="dxa"/>
            <w:vAlign w:val="center"/>
          </w:tcPr>
          <w:p w14:paraId="71D9048D" w14:textId="77777777" w:rsidR="00EF606C" w:rsidRPr="00D8792B" w:rsidRDefault="00EF606C" w:rsidP="000C2AED">
            <w:pPr>
              <w:pStyle w:val="Pa1"/>
              <w:jc w:val="center"/>
              <w:rPr>
                <w:b/>
                <w:bCs/>
                <w:color w:val="221E1F"/>
                <w:sz w:val="20"/>
                <w:szCs w:val="20"/>
              </w:rPr>
            </w:pPr>
            <w:r w:rsidRPr="00D8792B">
              <w:rPr>
                <w:rStyle w:val="A6"/>
                <w:b/>
                <w:bCs/>
              </w:rPr>
              <w:t>42,163,634</w:t>
            </w:r>
          </w:p>
        </w:tc>
        <w:tc>
          <w:tcPr>
            <w:tcW w:w="1698" w:type="dxa"/>
            <w:vAlign w:val="center"/>
          </w:tcPr>
          <w:p w14:paraId="2D909AD2" w14:textId="77777777" w:rsidR="00EF606C" w:rsidRPr="00D8792B" w:rsidRDefault="00EF606C" w:rsidP="000C2AED">
            <w:pPr>
              <w:pStyle w:val="Pa1"/>
              <w:jc w:val="center"/>
              <w:rPr>
                <w:b/>
                <w:bCs/>
                <w:color w:val="221E1F"/>
                <w:sz w:val="20"/>
                <w:szCs w:val="20"/>
              </w:rPr>
            </w:pPr>
            <w:r w:rsidRPr="00D8792B">
              <w:rPr>
                <w:rStyle w:val="A6"/>
                <w:b/>
                <w:bCs/>
              </w:rPr>
              <w:t>33,518,756</w:t>
            </w:r>
          </w:p>
        </w:tc>
        <w:tc>
          <w:tcPr>
            <w:tcW w:w="1698" w:type="dxa"/>
            <w:vAlign w:val="center"/>
          </w:tcPr>
          <w:p w14:paraId="1F903F09" w14:textId="77777777" w:rsidR="00EF606C" w:rsidRPr="00D8792B" w:rsidRDefault="00EF606C" w:rsidP="000C2AED">
            <w:pPr>
              <w:pStyle w:val="Pa1"/>
              <w:jc w:val="center"/>
              <w:rPr>
                <w:b/>
                <w:bCs/>
                <w:i/>
                <w:iCs/>
                <w:color w:val="221E1F"/>
                <w:sz w:val="20"/>
                <w:szCs w:val="20"/>
              </w:rPr>
            </w:pPr>
            <w:r w:rsidRPr="00D8792B">
              <w:rPr>
                <w:rStyle w:val="A6"/>
                <w:b/>
                <w:bCs/>
                <w:i/>
                <w:iCs/>
              </w:rPr>
              <w:t>106,031,580</w:t>
            </w:r>
          </w:p>
        </w:tc>
      </w:tr>
      <w:tr w:rsidR="00EF606C" w:rsidRPr="00D8792B" w14:paraId="65C2DBB5" w14:textId="77777777" w:rsidTr="00906924">
        <w:tc>
          <w:tcPr>
            <w:tcW w:w="2263" w:type="dxa"/>
            <w:shd w:val="clear" w:color="auto" w:fill="D9D9D9" w:themeFill="background1" w:themeFillShade="D9"/>
            <w:vAlign w:val="center"/>
          </w:tcPr>
          <w:p w14:paraId="4F514738" w14:textId="77777777" w:rsidR="00EF606C" w:rsidRPr="00D8792B" w:rsidRDefault="00EF606C" w:rsidP="000C2AED">
            <w:pPr>
              <w:pStyle w:val="REG-P0"/>
              <w:jc w:val="center"/>
              <w:rPr>
                <w:sz w:val="20"/>
                <w:szCs w:val="20"/>
              </w:rPr>
            </w:pPr>
            <w:r w:rsidRPr="00D8792B">
              <w:rPr>
                <w:sz w:val="20"/>
                <w:szCs w:val="20"/>
              </w:rPr>
              <w:t>OPEX</w:t>
            </w:r>
          </w:p>
        </w:tc>
        <w:tc>
          <w:tcPr>
            <w:tcW w:w="1131" w:type="dxa"/>
            <w:vAlign w:val="center"/>
          </w:tcPr>
          <w:p w14:paraId="7C260A87" w14:textId="77777777" w:rsidR="00EF606C" w:rsidRPr="00D8792B" w:rsidRDefault="00EF606C" w:rsidP="000C2AED">
            <w:pPr>
              <w:pStyle w:val="Pa1"/>
              <w:jc w:val="center"/>
              <w:rPr>
                <w:color w:val="221E1F"/>
                <w:sz w:val="20"/>
                <w:szCs w:val="20"/>
              </w:rPr>
            </w:pPr>
            <w:r w:rsidRPr="00D8792B">
              <w:rPr>
                <w:rStyle w:val="A6"/>
              </w:rPr>
              <w:t>17,868,636</w:t>
            </w:r>
          </w:p>
        </w:tc>
        <w:tc>
          <w:tcPr>
            <w:tcW w:w="1698" w:type="dxa"/>
            <w:vAlign w:val="center"/>
          </w:tcPr>
          <w:p w14:paraId="5A6EDF6B" w14:textId="77777777" w:rsidR="00EF606C" w:rsidRPr="00D8792B" w:rsidRDefault="00EF606C" w:rsidP="000C2AED">
            <w:pPr>
              <w:pStyle w:val="Pa1"/>
              <w:jc w:val="center"/>
              <w:rPr>
                <w:color w:val="221E1F"/>
                <w:sz w:val="20"/>
                <w:szCs w:val="20"/>
              </w:rPr>
            </w:pPr>
            <w:r w:rsidRPr="00D8792B">
              <w:rPr>
                <w:rStyle w:val="A6"/>
              </w:rPr>
              <w:t>14,850,242</w:t>
            </w:r>
          </w:p>
        </w:tc>
        <w:tc>
          <w:tcPr>
            <w:tcW w:w="1698" w:type="dxa"/>
            <w:vAlign w:val="center"/>
          </w:tcPr>
          <w:p w14:paraId="6A7DE7CE" w14:textId="77777777" w:rsidR="00EF606C" w:rsidRPr="00D8792B" w:rsidRDefault="00EF606C" w:rsidP="000C2AED">
            <w:pPr>
              <w:pStyle w:val="Pa1"/>
              <w:jc w:val="center"/>
              <w:rPr>
                <w:color w:val="221E1F"/>
                <w:sz w:val="20"/>
                <w:szCs w:val="20"/>
              </w:rPr>
            </w:pPr>
            <w:r w:rsidRPr="00D8792B">
              <w:rPr>
                <w:rStyle w:val="A6"/>
              </w:rPr>
              <w:t>11,382,809</w:t>
            </w:r>
          </w:p>
        </w:tc>
        <w:tc>
          <w:tcPr>
            <w:tcW w:w="1698" w:type="dxa"/>
            <w:vAlign w:val="center"/>
          </w:tcPr>
          <w:p w14:paraId="7B32C52A" w14:textId="77777777" w:rsidR="00EF606C" w:rsidRPr="00D8792B" w:rsidRDefault="00EF606C" w:rsidP="000C2AED">
            <w:pPr>
              <w:pStyle w:val="Pa1"/>
              <w:jc w:val="center"/>
              <w:rPr>
                <w:i/>
                <w:iCs/>
                <w:color w:val="221E1F"/>
                <w:sz w:val="20"/>
                <w:szCs w:val="20"/>
              </w:rPr>
            </w:pPr>
            <w:r w:rsidRPr="00D8792B">
              <w:rPr>
                <w:rStyle w:val="A6"/>
                <w:i/>
                <w:iCs/>
              </w:rPr>
              <w:t>44,101,687</w:t>
            </w:r>
          </w:p>
        </w:tc>
      </w:tr>
      <w:tr w:rsidR="00EF606C" w:rsidRPr="00D8792B" w14:paraId="79DF3121" w14:textId="77777777" w:rsidTr="00906924">
        <w:tc>
          <w:tcPr>
            <w:tcW w:w="2263" w:type="dxa"/>
            <w:shd w:val="clear" w:color="auto" w:fill="D9D9D9" w:themeFill="background1" w:themeFillShade="D9"/>
            <w:vAlign w:val="center"/>
          </w:tcPr>
          <w:p w14:paraId="7F73ADE7" w14:textId="77777777" w:rsidR="00EF606C" w:rsidRPr="00D8792B" w:rsidRDefault="00EF606C" w:rsidP="000C2AED">
            <w:pPr>
              <w:pStyle w:val="REG-P0"/>
              <w:jc w:val="center"/>
              <w:rPr>
                <w:sz w:val="20"/>
                <w:szCs w:val="20"/>
              </w:rPr>
            </w:pPr>
            <w:r w:rsidRPr="00D8792B">
              <w:rPr>
                <w:sz w:val="20"/>
                <w:szCs w:val="20"/>
              </w:rPr>
              <w:t>CAPEX</w:t>
            </w:r>
          </w:p>
        </w:tc>
        <w:tc>
          <w:tcPr>
            <w:tcW w:w="1131" w:type="dxa"/>
            <w:vAlign w:val="center"/>
          </w:tcPr>
          <w:p w14:paraId="13E3807D" w14:textId="77777777" w:rsidR="00EF606C" w:rsidRPr="00D8792B" w:rsidRDefault="00EF606C" w:rsidP="000C2AED">
            <w:pPr>
              <w:pStyle w:val="Pa1"/>
              <w:jc w:val="center"/>
              <w:rPr>
                <w:color w:val="221E1F"/>
                <w:sz w:val="20"/>
                <w:szCs w:val="20"/>
              </w:rPr>
            </w:pPr>
            <w:r w:rsidRPr="00D8792B">
              <w:rPr>
                <w:rStyle w:val="A6"/>
              </w:rPr>
              <w:t>12,480,554</w:t>
            </w:r>
          </w:p>
        </w:tc>
        <w:tc>
          <w:tcPr>
            <w:tcW w:w="1698" w:type="dxa"/>
            <w:vAlign w:val="center"/>
          </w:tcPr>
          <w:p w14:paraId="19C501C5" w14:textId="77777777" w:rsidR="00EF606C" w:rsidRPr="00D8792B" w:rsidRDefault="00EF606C" w:rsidP="000C2AED">
            <w:pPr>
              <w:pStyle w:val="Pa1"/>
              <w:jc w:val="center"/>
              <w:rPr>
                <w:color w:val="221E1F"/>
                <w:sz w:val="20"/>
                <w:szCs w:val="20"/>
              </w:rPr>
            </w:pPr>
            <w:r w:rsidRPr="00D8792B">
              <w:rPr>
                <w:rStyle w:val="A6"/>
              </w:rPr>
              <w:t>27,313,392</w:t>
            </w:r>
          </w:p>
        </w:tc>
        <w:tc>
          <w:tcPr>
            <w:tcW w:w="1698" w:type="dxa"/>
            <w:vAlign w:val="center"/>
          </w:tcPr>
          <w:p w14:paraId="35E1AB8C" w14:textId="77777777" w:rsidR="00EF606C" w:rsidRPr="00D8792B" w:rsidRDefault="00EF606C" w:rsidP="000C2AED">
            <w:pPr>
              <w:pStyle w:val="Pa1"/>
              <w:jc w:val="center"/>
              <w:rPr>
                <w:color w:val="221E1F"/>
                <w:sz w:val="20"/>
                <w:szCs w:val="20"/>
              </w:rPr>
            </w:pPr>
            <w:r w:rsidRPr="00D8792B">
              <w:rPr>
                <w:rStyle w:val="A6"/>
              </w:rPr>
              <w:t>22,135,947</w:t>
            </w:r>
          </w:p>
        </w:tc>
        <w:tc>
          <w:tcPr>
            <w:tcW w:w="1698" w:type="dxa"/>
            <w:vAlign w:val="center"/>
          </w:tcPr>
          <w:p w14:paraId="2D7EF08E" w14:textId="77777777" w:rsidR="00EF606C" w:rsidRPr="00D8792B" w:rsidRDefault="00EF606C" w:rsidP="000C2AED">
            <w:pPr>
              <w:pStyle w:val="Pa1"/>
              <w:jc w:val="center"/>
              <w:rPr>
                <w:i/>
                <w:iCs/>
                <w:color w:val="221E1F"/>
                <w:sz w:val="20"/>
                <w:szCs w:val="20"/>
              </w:rPr>
            </w:pPr>
            <w:r w:rsidRPr="00D8792B">
              <w:rPr>
                <w:rStyle w:val="A6"/>
                <w:i/>
                <w:iCs/>
              </w:rPr>
              <w:t>61,929,893</w:t>
            </w:r>
          </w:p>
        </w:tc>
      </w:tr>
      <w:tr w:rsidR="00EF606C" w:rsidRPr="00D8792B" w14:paraId="3B8DDD1F" w14:textId="77777777" w:rsidTr="00906924">
        <w:tc>
          <w:tcPr>
            <w:tcW w:w="2263" w:type="dxa"/>
            <w:shd w:val="clear" w:color="auto" w:fill="D9D9D9" w:themeFill="background1" w:themeFillShade="D9"/>
            <w:vAlign w:val="center"/>
          </w:tcPr>
          <w:p w14:paraId="026CAC03" w14:textId="77777777" w:rsidR="00EF606C" w:rsidRPr="00D8792B" w:rsidRDefault="00EF606C" w:rsidP="000C2AED">
            <w:pPr>
              <w:pStyle w:val="REG-P0"/>
              <w:jc w:val="center"/>
              <w:rPr>
                <w:b/>
                <w:bCs/>
                <w:i/>
                <w:iCs/>
                <w:sz w:val="20"/>
                <w:szCs w:val="20"/>
              </w:rPr>
            </w:pPr>
            <w:r w:rsidRPr="00D8792B">
              <w:rPr>
                <w:b/>
                <w:bCs/>
                <w:i/>
                <w:iCs/>
                <w:sz w:val="20"/>
                <w:szCs w:val="20"/>
              </w:rPr>
              <w:t>Over/Under-recovery</w:t>
            </w:r>
          </w:p>
        </w:tc>
        <w:tc>
          <w:tcPr>
            <w:tcW w:w="1131" w:type="dxa"/>
            <w:shd w:val="clear" w:color="auto" w:fill="auto"/>
            <w:vAlign w:val="center"/>
          </w:tcPr>
          <w:p w14:paraId="1E0FADA8" w14:textId="77777777" w:rsidR="00EF606C" w:rsidRPr="00D8792B" w:rsidRDefault="00EF606C" w:rsidP="000C2AED">
            <w:pPr>
              <w:pStyle w:val="REG-P0"/>
              <w:jc w:val="center"/>
              <w:rPr>
                <w:sz w:val="20"/>
                <w:szCs w:val="20"/>
              </w:rPr>
            </w:pPr>
          </w:p>
        </w:tc>
        <w:tc>
          <w:tcPr>
            <w:tcW w:w="1698" w:type="dxa"/>
            <w:shd w:val="clear" w:color="auto" w:fill="auto"/>
            <w:vAlign w:val="center"/>
          </w:tcPr>
          <w:p w14:paraId="5A85D335" w14:textId="77777777" w:rsidR="00EF606C" w:rsidRPr="00D8792B" w:rsidRDefault="00EF606C" w:rsidP="000C2AED">
            <w:pPr>
              <w:pStyle w:val="REG-P0"/>
              <w:jc w:val="center"/>
              <w:rPr>
                <w:sz w:val="20"/>
                <w:szCs w:val="20"/>
              </w:rPr>
            </w:pPr>
          </w:p>
        </w:tc>
        <w:tc>
          <w:tcPr>
            <w:tcW w:w="1698" w:type="dxa"/>
            <w:shd w:val="clear" w:color="auto" w:fill="auto"/>
            <w:vAlign w:val="center"/>
          </w:tcPr>
          <w:p w14:paraId="5B048C8B" w14:textId="77777777" w:rsidR="00EF606C" w:rsidRPr="00D8792B" w:rsidRDefault="00EF606C" w:rsidP="000C2AED">
            <w:pPr>
              <w:pStyle w:val="REG-P0"/>
              <w:jc w:val="center"/>
              <w:rPr>
                <w:sz w:val="20"/>
                <w:szCs w:val="20"/>
              </w:rPr>
            </w:pPr>
          </w:p>
        </w:tc>
        <w:tc>
          <w:tcPr>
            <w:tcW w:w="1698" w:type="dxa"/>
            <w:shd w:val="clear" w:color="auto" w:fill="auto"/>
            <w:vAlign w:val="center"/>
          </w:tcPr>
          <w:p w14:paraId="589086BD" w14:textId="77777777" w:rsidR="00EF606C" w:rsidRPr="00D8792B" w:rsidRDefault="00EF606C" w:rsidP="000C2AED">
            <w:pPr>
              <w:pStyle w:val="Pa1"/>
              <w:jc w:val="center"/>
              <w:rPr>
                <w:i/>
                <w:iCs/>
                <w:color w:val="221E1F"/>
                <w:sz w:val="20"/>
                <w:szCs w:val="20"/>
              </w:rPr>
            </w:pPr>
            <w:r w:rsidRPr="00D8792B">
              <w:rPr>
                <w:rStyle w:val="A6"/>
                <w:i/>
                <w:iCs/>
              </w:rPr>
              <w:t>(6,486,842)</w:t>
            </w:r>
          </w:p>
        </w:tc>
      </w:tr>
      <w:tr w:rsidR="00EF606C" w:rsidRPr="00D8792B" w14:paraId="04D20E0C" w14:textId="77777777" w:rsidTr="00906924">
        <w:tc>
          <w:tcPr>
            <w:tcW w:w="2263" w:type="dxa"/>
            <w:shd w:val="clear" w:color="auto" w:fill="D9D9D9" w:themeFill="background1" w:themeFillShade="D9"/>
            <w:vAlign w:val="center"/>
          </w:tcPr>
          <w:p w14:paraId="4C68CDA5" w14:textId="77777777" w:rsidR="00EF606C" w:rsidRPr="00D8792B" w:rsidRDefault="00EF606C" w:rsidP="000C2AED">
            <w:pPr>
              <w:pStyle w:val="REG-P0"/>
              <w:jc w:val="center"/>
              <w:rPr>
                <w:b/>
                <w:bCs/>
                <w:i/>
                <w:iCs/>
                <w:sz w:val="20"/>
                <w:szCs w:val="20"/>
              </w:rPr>
            </w:pPr>
            <w:r w:rsidRPr="00D8792B">
              <w:rPr>
                <w:b/>
                <w:bCs/>
                <w:i/>
                <w:iCs/>
                <w:sz w:val="20"/>
                <w:szCs w:val="20"/>
              </w:rPr>
              <w:t>Total Budgeted Revenue Requirement</w:t>
            </w:r>
          </w:p>
        </w:tc>
        <w:tc>
          <w:tcPr>
            <w:tcW w:w="1131" w:type="dxa"/>
            <w:vAlign w:val="center"/>
          </w:tcPr>
          <w:p w14:paraId="6BA6158B" w14:textId="77777777" w:rsidR="00EF606C" w:rsidRPr="00D8792B" w:rsidRDefault="00EF606C" w:rsidP="000C2AED">
            <w:pPr>
              <w:pStyle w:val="REG-P0"/>
              <w:jc w:val="center"/>
              <w:rPr>
                <w:sz w:val="20"/>
                <w:szCs w:val="20"/>
              </w:rPr>
            </w:pPr>
          </w:p>
        </w:tc>
        <w:tc>
          <w:tcPr>
            <w:tcW w:w="1698" w:type="dxa"/>
            <w:vAlign w:val="center"/>
          </w:tcPr>
          <w:p w14:paraId="5D957732" w14:textId="77777777" w:rsidR="00EF606C" w:rsidRPr="00D8792B" w:rsidRDefault="00EF606C" w:rsidP="000C2AED">
            <w:pPr>
              <w:pStyle w:val="REG-P0"/>
              <w:jc w:val="center"/>
              <w:rPr>
                <w:sz w:val="20"/>
                <w:szCs w:val="20"/>
              </w:rPr>
            </w:pPr>
          </w:p>
        </w:tc>
        <w:tc>
          <w:tcPr>
            <w:tcW w:w="1698" w:type="dxa"/>
            <w:vAlign w:val="center"/>
          </w:tcPr>
          <w:p w14:paraId="4A0AA330" w14:textId="77777777" w:rsidR="00EF606C" w:rsidRPr="00D8792B" w:rsidRDefault="00EF606C" w:rsidP="000C2AED">
            <w:pPr>
              <w:pStyle w:val="REG-P0"/>
              <w:jc w:val="center"/>
              <w:rPr>
                <w:sz w:val="20"/>
                <w:szCs w:val="20"/>
              </w:rPr>
            </w:pPr>
          </w:p>
        </w:tc>
        <w:tc>
          <w:tcPr>
            <w:tcW w:w="1698" w:type="dxa"/>
            <w:vAlign w:val="center"/>
          </w:tcPr>
          <w:p w14:paraId="1523431B" w14:textId="77777777" w:rsidR="00EF606C" w:rsidRPr="00D8792B" w:rsidRDefault="00EF606C" w:rsidP="000C2AED">
            <w:pPr>
              <w:pStyle w:val="Pa1"/>
              <w:jc w:val="center"/>
              <w:rPr>
                <w:i/>
                <w:iCs/>
                <w:color w:val="221E1F"/>
                <w:sz w:val="20"/>
                <w:szCs w:val="20"/>
              </w:rPr>
            </w:pPr>
            <w:r w:rsidRPr="00D8792B">
              <w:rPr>
                <w:rStyle w:val="A6"/>
                <w:i/>
                <w:iCs/>
              </w:rPr>
              <w:t>99,544,738</w:t>
            </w:r>
          </w:p>
        </w:tc>
      </w:tr>
    </w:tbl>
    <w:p w14:paraId="09718E6C" w14:textId="77777777" w:rsidR="00EF606C" w:rsidRDefault="00EF606C" w:rsidP="00EF606C">
      <w:pPr>
        <w:pStyle w:val="REG-P0"/>
      </w:pPr>
    </w:p>
    <w:p w14:paraId="64717137" w14:textId="77777777" w:rsidR="00EF606C" w:rsidRDefault="00EF606C" w:rsidP="00EF606C">
      <w:pPr>
        <w:pStyle w:val="REG-P0"/>
      </w:pPr>
      <w:r w:rsidRPr="00D8792B">
        <w:t>The projected revenue requirement for the next three years is therefore N$ 99,544,738. To determine the base values, the revenue received from spectrum auctions and the revenue that would be received</w:t>
      </w:r>
      <w:r w:rsidRPr="00D8792B">
        <w:rPr>
          <w:rFonts w:eastAsiaTheme="minorHAnsi"/>
        </w:rPr>
        <w:t xml:space="preserve"> </w:t>
      </w:r>
      <w:r w:rsidRPr="00D8792B">
        <w:t>from fixed spectrum must be subtracted for the budgeting period in order to determine the base values. The total revenue requirement therefore is N$ 81,462,509 for the three-year period up to 2025/2026.</w:t>
      </w:r>
    </w:p>
    <w:p w14:paraId="6F113CB8" w14:textId="77777777" w:rsidR="00EF606C" w:rsidRDefault="00EF606C" w:rsidP="00EF606C">
      <w:pPr>
        <w:pStyle w:val="REG-P0"/>
      </w:pPr>
    </w:p>
    <w:p w14:paraId="035354B6" w14:textId="77777777" w:rsidR="00EF606C" w:rsidRDefault="00EF606C" w:rsidP="00EF606C">
      <w:pPr>
        <w:pStyle w:val="REG-P0"/>
        <w:rPr>
          <w:lang/>
        </w:rPr>
      </w:pPr>
      <w:r w:rsidRPr="00D8792B">
        <w:rPr>
          <w:lang/>
        </w:rPr>
        <w:t>This therefore results in the following:</w:t>
      </w:r>
    </w:p>
    <w:p w14:paraId="2EE572F4" w14:textId="77777777" w:rsidR="00EF606C" w:rsidRPr="00D8792B" w:rsidRDefault="00EF606C" w:rsidP="00EF606C">
      <w:pPr>
        <w:pStyle w:val="REG-P0"/>
        <w:rPr>
          <w:lang/>
        </w:rPr>
      </w:pPr>
    </w:p>
    <w:p w14:paraId="3377D442" w14:textId="77777777" w:rsidR="00EF606C" w:rsidRPr="00D8792B" w:rsidRDefault="00EF606C" w:rsidP="00EF606C">
      <w:pPr>
        <w:pStyle w:val="REG-P0"/>
        <w:rPr>
          <w:lang/>
        </w:rPr>
      </w:pPr>
      <w:r w:rsidRPr="00D8792B">
        <w:rPr>
          <w:lang/>
        </w:rPr>
        <w:t>1.</w:t>
      </w:r>
      <w:r>
        <w:rPr>
          <w:lang/>
        </w:rPr>
        <w:tab/>
      </w:r>
      <w:r w:rsidRPr="00D8792B">
        <w:rPr>
          <w:lang/>
        </w:rPr>
        <w:t>Fixed spectrum fees will be increased by 2.5% inflationary increase;</w:t>
      </w:r>
    </w:p>
    <w:p w14:paraId="1716BBC0" w14:textId="77777777" w:rsidR="00EF606C" w:rsidRPr="00D8792B" w:rsidRDefault="00EF606C" w:rsidP="00EF606C">
      <w:pPr>
        <w:pStyle w:val="REG-P0"/>
        <w:rPr>
          <w:lang/>
        </w:rPr>
      </w:pPr>
      <w:r w:rsidRPr="00D8792B">
        <w:rPr>
          <w:lang/>
        </w:rPr>
        <w:t>2.</w:t>
      </w:r>
      <w:r>
        <w:rPr>
          <w:lang/>
        </w:rPr>
        <w:tab/>
      </w:r>
      <w:r w:rsidRPr="00D8792B">
        <w:rPr>
          <w:lang/>
        </w:rPr>
        <w:t>Mobile spectrum (2G, 3G and IMT) will have a new base value of N$ 1,100.00</w:t>
      </w:r>
    </w:p>
    <w:p w14:paraId="5E2D6B12" w14:textId="77777777" w:rsidR="00EF606C" w:rsidRPr="00D8792B" w:rsidRDefault="00EF606C" w:rsidP="00EF606C">
      <w:pPr>
        <w:pStyle w:val="REG-P0"/>
        <w:rPr>
          <w:lang/>
        </w:rPr>
      </w:pPr>
      <w:r w:rsidRPr="00D8792B">
        <w:rPr>
          <w:lang/>
        </w:rPr>
        <w:t>3.</w:t>
      </w:r>
      <w:r>
        <w:rPr>
          <w:lang/>
        </w:rPr>
        <w:tab/>
      </w:r>
      <w:r w:rsidRPr="00D8792B">
        <w:rPr>
          <w:lang/>
        </w:rPr>
        <w:t>Point-to-Point will have a new base value of N$ 98.00</w:t>
      </w:r>
    </w:p>
    <w:p w14:paraId="0F7185D5" w14:textId="77777777" w:rsidR="00EF606C" w:rsidRDefault="00EF606C" w:rsidP="00EF606C">
      <w:pPr>
        <w:pStyle w:val="REG-P0"/>
        <w:rPr>
          <w:rFonts w:eastAsiaTheme="minorHAnsi"/>
          <w:lang/>
        </w:rPr>
      </w:pPr>
      <w:r w:rsidRPr="00D8792B">
        <w:rPr>
          <w:rFonts w:eastAsiaTheme="minorHAnsi"/>
          <w:lang/>
        </w:rPr>
        <w:t>4.</w:t>
      </w:r>
      <w:r>
        <w:rPr>
          <w:rFonts w:eastAsiaTheme="minorHAnsi"/>
          <w:lang/>
        </w:rPr>
        <w:tab/>
      </w:r>
      <w:r w:rsidRPr="00D8792B">
        <w:rPr>
          <w:rFonts w:eastAsiaTheme="minorHAnsi"/>
          <w:lang/>
        </w:rPr>
        <w:t>VSAT will have a new base value of N$ 550.00. the formulae for VSAT will change to</w:t>
      </w:r>
    </w:p>
    <w:p w14:paraId="1127EC43" w14:textId="77777777" w:rsidR="00EF606C" w:rsidRDefault="00EF606C" w:rsidP="00EF606C">
      <w:pPr>
        <w:pStyle w:val="REG-P0"/>
        <w:rPr>
          <w:rFonts w:eastAsiaTheme="minorHAnsi"/>
          <w:lang/>
        </w:rPr>
      </w:pPr>
    </w:p>
    <w:p w14:paraId="439F7C70" w14:textId="77777777" w:rsidR="00EF606C" w:rsidRPr="00D8792B" w:rsidRDefault="00EF606C" w:rsidP="00EF606C">
      <w:pPr>
        <w:autoSpaceDE w:val="0"/>
        <w:autoSpaceDN w:val="0"/>
        <w:adjustRightInd w:val="0"/>
        <w:spacing w:line="241" w:lineRule="atLeast"/>
        <w:jc w:val="center"/>
        <w:rPr>
          <w:rFonts w:cs="Times New Roman"/>
          <w:noProof w:val="0"/>
          <w:color w:val="221E1F"/>
          <w:lang/>
        </w:rPr>
      </w:pPr>
      <w:r w:rsidRPr="00D8792B">
        <w:rPr>
          <w:rFonts w:cs="Times New Roman"/>
          <w:noProof w:val="0"/>
          <w:color w:val="221E1F"/>
          <w:lang/>
        </w:rPr>
        <w:t>Cost of spectrum management</w:t>
      </w:r>
    </w:p>
    <w:p w14:paraId="5875B412" w14:textId="77777777" w:rsidR="00EF606C" w:rsidRPr="00D8792B" w:rsidRDefault="00EF606C" w:rsidP="00EF606C">
      <w:pPr>
        <w:autoSpaceDE w:val="0"/>
        <w:autoSpaceDN w:val="0"/>
        <w:adjustRightInd w:val="0"/>
        <w:spacing w:line="241" w:lineRule="atLeast"/>
        <w:jc w:val="center"/>
        <w:rPr>
          <w:rFonts w:cs="Times New Roman"/>
          <w:noProof w:val="0"/>
          <w:color w:val="221E1F"/>
          <w:lang/>
        </w:rPr>
      </w:pPr>
      <w:r w:rsidRPr="00D8792B">
        <w:rPr>
          <w:rFonts w:cs="Times New Roman"/>
          <w:noProof w:val="0"/>
          <w:color w:val="221E1F"/>
          <w:lang/>
        </w:rPr>
        <w:t xml:space="preserve">______________________________ </w:t>
      </w:r>
    </w:p>
    <w:p w14:paraId="3689F925" w14:textId="4A027BEF" w:rsidR="00EF606C" w:rsidRDefault="00EF606C" w:rsidP="00906924">
      <w:pPr>
        <w:pStyle w:val="REG-P0"/>
        <w:jc w:val="center"/>
        <w:rPr>
          <w:rFonts w:eastAsiaTheme="minorHAnsi"/>
          <w:noProof w:val="0"/>
          <w:color w:val="221E1F"/>
          <w:lang/>
        </w:rPr>
      </w:pPr>
    </w:p>
    <w:p w14:paraId="6627DBC7" w14:textId="50281358" w:rsidR="00EF606C" w:rsidRDefault="00EF606C" w:rsidP="00906924">
      <w:pPr>
        <w:pStyle w:val="REG-P0"/>
        <w:jc w:val="center"/>
        <w:rPr>
          <w:rFonts w:eastAsiaTheme="minorHAnsi"/>
          <w:noProof w:val="0"/>
          <w:color w:val="221E1F"/>
          <w:lang/>
        </w:rPr>
      </w:pPr>
      <w:r w:rsidRPr="00D8792B">
        <w:rPr>
          <w:rFonts w:eastAsiaTheme="minorHAnsi"/>
          <w:noProof w:val="0"/>
          <w:color w:val="221E1F"/>
          <w:lang/>
        </w:rPr>
        <w:t>BWx FBFx CFx SRHFx GEO x TF</w:t>
      </w:r>
    </w:p>
    <w:p w14:paraId="22274B3E" w14:textId="77777777" w:rsidR="00EF606C" w:rsidRDefault="00EF606C" w:rsidP="00EF606C">
      <w:pPr>
        <w:pStyle w:val="REG-P0"/>
        <w:rPr>
          <w:rFonts w:eastAsiaTheme="minorHAnsi"/>
          <w:noProof w:val="0"/>
          <w:color w:val="221E1F"/>
          <w:lang/>
        </w:rPr>
      </w:pPr>
    </w:p>
    <w:p w14:paraId="587E5D38" w14:textId="77777777" w:rsidR="00EF606C" w:rsidRDefault="00EF606C" w:rsidP="00EF606C">
      <w:pPr>
        <w:pStyle w:val="REG-P0"/>
      </w:pPr>
      <w:r w:rsidRPr="00D8792B">
        <w:t>This will reduce spectrum fees for VSAT significantly and allow VSAT to be utilised in rural areas for backhaul connectivity and therefore faster broadband services to unserved and under-served communities.</w:t>
      </w:r>
    </w:p>
    <w:p w14:paraId="02CB0311" w14:textId="77777777" w:rsidR="00EF606C" w:rsidRDefault="00EF606C" w:rsidP="00EF606C">
      <w:pPr>
        <w:pStyle w:val="REG-P0"/>
      </w:pPr>
    </w:p>
    <w:tbl>
      <w:tblPr>
        <w:tblStyle w:val="TableGrid"/>
        <w:tblW w:w="0" w:type="auto"/>
        <w:tblLook w:val="04A0" w:firstRow="1" w:lastRow="0" w:firstColumn="1" w:lastColumn="0" w:noHBand="0" w:noVBand="1"/>
      </w:tblPr>
      <w:tblGrid>
        <w:gridCol w:w="3397"/>
        <w:gridCol w:w="1276"/>
        <w:gridCol w:w="1276"/>
        <w:gridCol w:w="1276"/>
        <w:gridCol w:w="1263"/>
      </w:tblGrid>
      <w:tr w:rsidR="00EF606C" w:rsidRPr="00D8792B" w14:paraId="017B23CC" w14:textId="77777777" w:rsidTr="00906924">
        <w:tc>
          <w:tcPr>
            <w:tcW w:w="8488" w:type="dxa"/>
            <w:gridSpan w:val="5"/>
            <w:shd w:val="clear" w:color="auto" w:fill="D9D9D9" w:themeFill="background1" w:themeFillShade="D9"/>
            <w:vAlign w:val="center"/>
          </w:tcPr>
          <w:p w14:paraId="41414EDC" w14:textId="77777777" w:rsidR="00EF606C" w:rsidRPr="00D8792B" w:rsidRDefault="00EF606C" w:rsidP="000C2AED">
            <w:pPr>
              <w:pStyle w:val="Pa1"/>
              <w:jc w:val="center"/>
              <w:rPr>
                <w:b/>
                <w:bCs/>
                <w:color w:val="221E1F"/>
                <w:sz w:val="20"/>
                <w:szCs w:val="20"/>
              </w:rPr>
            </w:pPr>
            <w:r w:rsidRPr="00D8792B">
              <w:rPr>
                <w:b/>
                <w:bCs/>
                <w:color w:val="221E1F"/>
                <w:sz w:val="20"/>
                <w:szCs w:val="20"/>
              </w:rPr>
              <w:t>Table 4: Budget for 2023/2024 to 2026/2027</w:t>
            </w:r>
          </w:p>
        </w:tc>
      </w:tr>
      <w:tr w:rsidR="00EF606C" w:rsidRPr="00D8792B" w14:paraId="44025DCF" w14:textId="77777777" w:rsidTr="00906924">
        <w:tc>
          <w:tcPr>
            <w:tcW w:w="3397" w:type="dxa"/>
            <w:shd w:val="clear" w:color="auto" w:fill="D9D9D9" w:themeFill="background1" w:themeFillShade="D9"/>
            <w:vAlign w:val="center"/>
          </w:tcPr>
          <w:p w14:paraId="6C18F35E" w14:textId="77777777" w:rsidR="00EF606C" w:rsidRPr="00D8792B" w:rsidRDefault="00EF606C" w:rsidP="000C2AED">
            <w:pPr>
              <w:pStyle w:val="REG-P0"/>
              <w:jc w:val="center"/>
              <w:rPr>
                <w:sz w:val="20"/>
                <w:szCs w:val="20"/>
              </w:rPr>
            </w:pPr>
          </w:p>
        </w:tc>
        <w:tc>
          <w:tcPr>
            <w:tcW w:w="1276" w:type="dxa"/>
            <w:shd w:val="clear" w:color="auto" w:fill="BFBFBF" w:themeFill="background1" w:themeFillShade="BF"/>
            <w:vAlign w:val="center"/>
          </w:tcPr>
          <w:p w14:paraId="143D4813" w14:textId="77777777" w:rsidR="00EF606C" w:rsidRPr="00D8792B" w:rsidRDefault="00EF606C" w:rsidP="000C2AED">
            <w:pPr>
              <w:pStyle w:val="REG-P0"/>
              <w:jc w:val="center"/>
              <w:rPr>
                <w:b/>
                <w:bCs/>
                <w:sz w:val="20"/>
                <w:szCs w:val="20"/>
              </w:rPr>
            </w:pPr>
            <w:r w:rsidRPr="00D8792B">
              <w:rPr>
                <w:b/>
                <w:bCs/>
                <w:sz w:val="20"/>
                <w:szCs w:val="20"/>
              </w:rPr>
              <w:t>2023/2024</w:t>
            </w:r>
          </w:p>
        </w:tc>
        <w:tc>
          <w:tcPr>
            <w:tcW w:w="1276" w:type="dxa"/>
            <w:shd w:val="clear" w:color="auto" w:fill="BFBFBF" w:themeFill="background1" w:themeFillShade="BF"/>
            <w:vAlign w:val="center"/>
          </w:tcPr>
          <w:p w14:paraId="0E02C7B7" w14:textId="77777777" w:rsidR="00EF606C" w:rsidRPr="00D8792B" w:rsidRDefault="00EF606C" w:rsidP="000C2AED">
            <w:pPr>
              <w:pStyle w:val="REG-P0"/>
              <w:jc w:val="center"/>
              <w:rPr>
                <w:b/>
                <w:bCs/>
                <w:sz w:val="20"/>
                <w:szCs w:val="20"/>
              </w:rPr>
            </w:pPr>
            <w:r w:rsidRPr="00D8792B">
              <w:rPr>
                <w:b/>
                <w:bCs/>
                <w:sz w:val="20"/>
                <w:szCs w:val="20"/>
              </w:rPr>
              <w:t>2024/2025</w:t>
            </w:r>
          </w:p>
        </w:tc>
        <w:tc>
          <w:tcPr>
            <w:tcW w:w="1276" w:type="dxa"/>
            <w:shd w:val="clear" w:color="auto" w:fill="BFBFBF" w:themeFill="background1" w:themeFillShade="BF"/>
            <w:vAlign w:val="center"/>
          </w:tcPr>
          <w:p w14:paraId="1BB45D8C" w14:textId="77777777" w:rsidR="00EF606C" w:rsidRPr="00D8792B" w:rsidRDefault="00EF606C" w:rsidP="000C2AED">
            <w:pPr>
              <w:pStyle w:val="REG-P0"/>
              <w:jc w:val="center"/>
              <w:rPr>
                <w:b/>
                <w:bCs/>
                <w:sz w:val="20"/>
                <w:szCs w:val="20"/>
              </w:rPr>
            </w:pPr>
            <w:r w:rsidRPr="00D8792B">
              <w:rPr>
                <w:b/>
                <w:bCs/>
                <w:sz w:val="20"/>
                <w:szCs w:val="20"/>
              </w:rPr>
              <w:t>2025/2026</w:t>
            </w:r>
          </w:p>
        </w:tc>
        <w:tc>
          <w:tcPr>
            <w:tcW w:w="1263" w:type="dxa"/>
            <w:shd w:val="clear" w:color="auto" w:fill="D9D9D9" w:themeFill="background1" w:themeFillShade="D9"/>
            <w:vAlign w:val="center"/>
          </w:tcPr>
          <w:p w14:paraId="717581D3" w14:textId="77777777" w:rsidR="00EF606C" w:rsidRPr="00D8792B" w:rsidRDefault="00EF606C" w:rsidP="000C2AED">
            <w:pPr>
              <w:pStyle w:val="REG-P0"/>
              <w:jc w:val="center"/>
              <w:rPr>
                <w:b/>
                <w:bCs/>
                <w:sz w:val="20"/>
                <w:szCs w:val="20"/>
              </w:rPr>
            </w:pPr>
            <w:r w:rsidRPr="00D8792B">
              <w:rPr>
                <w:b/>
                <w:bCs/>
                <w:sz w:val="20"/>
                <w:szCs w:val="20"/>
              </w:rPr>
              <w:t>Total</w:t>
            </w:r>
          </w:p>
        </w:tc>
      </w:tr>
      <w:tr w:rsidR="00EF606C" w:rsidRPr="00D8792B" w14:paraId="76C59881" w14:textId="77777777" w:rsidTr="00906924">
        <w:tc>
          <w:tcPr>
            <w:tcW w:w="3397" w:type="dxa"/>
            <w:shd w:val="clear" w:color="auto" w:fill="D9D9D9" w:themeFill="background1" w:themeFillShade="D9"/>
            <w:vAlign w:val="center"/>
          </w:tcPr>
          <w:p w14:paraId="29D5A63E" w14:textId="77777777" w:rsidR="00EF606C" w:rsidRPr="00921F30" w:rsidRDefault="00EF606C" w:rsidP="000C2AED">
            <w:pPr>
              <w:pStyle w:val="REG-P0"/>
              <w:jc w:val="center"/>
              <w:rPr>
                <w:b/>
                <w:bCs/>
                <w:sz w:val="20"/>
                <w:szCs w:val="20"/>
              </w:rPr>
            </w:pPr>
            <w:r w:rsidRPr="00921F30">
              <w:rPr>
                <w:b/>
                <w:bCs/>
                <w:sz w:val="20"/>
                <w:szCs w:val="20"/>
              </w:rPr>
              <w:t>Total Costs</w:t>
            </w:r>
          </w:p>
        </w:tc>
        <w:tc>
          <w:tcPr>
            <w:tcW w:w="1276" w:type="dxa"/>
            <w:shd w:val="clear" w:color="auto" w:fill="auto"/>
            <w:vAlign w:val="center"/>
          </w:tcPr>
          <w:p w14:paraId="04575C6A" w14:textId="77777777" w:rsidR="00EF606C" w:rsidRPr="00D8792B" w:rsidRDefault="00EF606C" w:rsidP="000C2AED">
            <w:pPr>
              <w:pStyle w:val="Pa1"/>
              <w:jc w:val="center"/>
              <w:rPr>
                <w:b/>
                <w:bCs/>
                <w:color w:val="221E1F"/>
                <w:sz w:val="20"/>
                <w:szCs w:val="20"/>
                <w:lang w:val="en-US"/>
              </w:rPr>
            </w:pPr>
            <w:r w:rsidRPr="00D8792B">
              <w:rPr>
                <w:rStyle w:val="A6"/>
                <w:b/>
                <w:bCs/>
              </w:rPr>
              <w:t>30,349,19</w:t>
            </w:r>
            <w:r w:rsidRPr="00D8792B">
              <w:rPr>
                <w:rStyle w:val="A6"/>
                <w:b/>
                <w:bCs/>
                <w:lang w:val="en-US"/>
              </w:rPr>
              <w:t>0</w:t>
            </w:r>
          </w:p>
        </w:tc>
        <w:tc>
          <w:tcPr>
            <w:tcW w:w="1276" w:type="dxa"/>
            <w:shd w:val="clear" w:color="auto" w:fill="auto"/>
            <w:vAlign w:val="center"/>
          </w:tcPr>
          <w:p w14:paraId="2680F15A" w14:textId="77777777" w:rsidR="00EF606C" w:rsidRPr="00D8792B" w:rsidRDefault="00EF606C" w:rsidP="000C2AED">
            <w:pPr>
              <w:pStyle w:val="Pa1"/>
              <w:jc w:val="center"/>
              <w:rPr>
                <w:b/>
                <w:bCs/>
                <w:color w:val="221E1F"/>
                <w:sz w:val="20"/>
                <w:szCs w:val="20"/>
              </w:rPr>
            </w:pPr>
            <w:r w:rsidRPr="00D8792B">
              <w:rPr>
                <w:rStyle w:val="A6"/>
                <w:b/>
                <w:bCs/>
              </w:rPr>
              <w:t>42,163,634</w:t>
            </w:r>
          </w:p>
        </w:tc>
        <w:tc>
          <w:tcPr>
            <w:tcW w:w="1276" w:type="dxa"/>
            <w:shd w:val="clear" w:color="auto" w:fill="auto"/>
            <w:vAlign w:val="center"/>
          </w:tcPr>
          <w:p w14:paraId="3BB7CEEE" w14:textId="77777777" w:rsidR="00EF606C" w:rsidRPr="00D8792B" w:rsidRDefault="00EF606C" w:rsidP="000C2AED">
            <w:pPr>
              <w:pStyle w:val="Pa1"/>
              <w:jc w:val="center"/>
              <w:rPr>
                <w:b/>
                <w:bCs/>
                <w:color w:val="221E1F"/>
                <w:sz w:val="20"/>
                <w:szCs w:val="20"/>
              </w:rPr>
            </w:pPr>
            <w:r w:rsidRPr="00D8792B">
              <w:rPr>
                <w:rStyle w:val="A6"/>
                <w:b/>
                <w:bCs/>
              </w:rPr>
              <w:t>33,518,756</w:t>
            </w:r>
          </w:p>
        </w:tc>
        <w:tc>
          <w:tcPr>
            <w:tcW w:w="1263" w:type="dxa"/>
            <w:shd w:val="clear" w:color="auto" w:fill="auto"/>
            <w:vAlign w:val="center"/>
          </w:tcPr>
          <w:p w14:paraId="158A5402" w14:textId="77777777" w:rsidR="00EF606C" w:rsidRPr="00D8792B" w:rsidRDefault="00EF606C" w:rsidP="000C2AED">
            <w:pPr>
              <w:pStyle w:val="Pa1"/>
              <w:jc w:val="center"/>
              <w:rPr>
                <w:b/>
                <w:bCs/>
                <w:i/>
                <w:iCs/>
                <w:color w:val="221E1F"/>
                <w:sz w:val="20"/>
                <w:szCs w:val="20"/>
              </w:rPr>
            </w:pPr>
            <w:r w:rsidRPr="00D8792B">
              <w:rPr>
                <w:rStyle w:val="A6"/>
                <w:b/>
                <w:bCs/>
                <w:i/>
                <w:iCs/>
              </w:rPr>
              <w:t>106,031,580</w:t>
            </w:r>
          </w:p>
        </w:tc>
      </w:tr>
      <w:tr w:rsidR="00EF606C" w:rsidRPr="00D8792B" w14:paraId="3123728E" w14:textId="77777777" w:rsidTr="00906924">
        <w:tc>
          <w:tcPr>
            <w:tcW w:w="3397" w:type="dxa"/>
            <w:shd w:val="clear" w:color="auto" w:fill="D9D9D9" w:themeFill="background1" w:themeFillShade="D9"/>
            <w:vAlign w:val="center"/>
          </w:tcPr>
          <w:p w14:paraId="15788D85" w14:textId="77777777" w:rsidR="00EF606C" w:rsidRPr="00D8792B" w:rsidRDefault="00EF606C" w:rsidP="000C2AED">
            <w:pPr>
              <w:pStyle w:val="REG-P0"/>
              <w:jc w:val="center"/>
              <w:rPr>
                <w:sz w:val="20"/>
                <w:szCs w:val="20"/>
              </w:rPr>
            </w:pPr>
            <w:r w:rsidRPr="00D8792B">
              <w:rPr>
                <w:sz w:val="20"/>
                <w:szCs w:val="20"/>
              </w:rPr>
              <w:t>OPEX</w:t>
            </w:r>
          </w:p>
        </w:tc>
        <w:tc>
          <w:tcPr>
            <w:tcW w:w="1276" w:type="dxa"/>
            <w:shd w:val="clear" w:color="auto" w:fill="auto"/>
            <w:vAlign w:val="center"/>
          </w:tcPr>
          <w:p w14:paraId="4CD9D625" w14:textId="77777777" w:rsidR="00EF606C" w:rsidRPr="00D8792B" w:rsidRDefault="00EF606C" w:rsidP="000C2AED">
            <w:pPr>
              <w:pStyle w:val="Pa1"/>
              <w:jc w:val="center"/>
              <w:rPr>
                <w:color w:val="221E1F"/>
                <w:sz w:val="20"/>
                <w:szCs w:val="20"/>
              </w:rPr>
            </w:pPr>
            <w:r w:rsidRPr="00D8792B">
              <w:rPr>
                <w:rStyle w:val="A6"/>
              </w:rPr>
              <w:t>17,868,636</w:t>
            </w:r>
          </w:p>
        </w:tc>
        <w:tc>
          <w:tcPr>
            <w:tcW w:w="1276" w:type="dxa"/>
            <w:shd w:val="clear" w:color="auto" w:fill="auto"/>
            <w:vAlign w:val="center"/>
          </w:tcPr>
          <w:p w14:paraId="5BF9376F" w14:textId="77777777" w:rsidR="00EF606C" w:rsidRPr="00D8792B" w:rsidRDefault="00EF606C" w:rsidP="000C2AED">
            <w:pPr>
              <w:pStyle w:val="Pa1"/>
              <w:jc w:val="center"/>
              <w:rPr>
                <w:color w:val="221E1F"/>
                <w:sz w:val="20"/>
                <w:szCs w:val="20"/>
              </w:rPr>
            </w:pPr>
            <w:r w:rsidRPr="00D8792B">
              <w:rPr>
                <w:rStyle w:val="A6"/>
              </w:rPr>
              <w:t>14,850,242</w:t>
            </w:r>
          </w:p>
        </w:tc>
        <w:tc>
          <w:tcPr>
            <w:tcW w:w="1276" w:type="dxa"/>
            <w:shd w:val="clear" w:color="auto" w:fill="auto"/>
            <w:vAlign w:val="center"/>
          </w:tcPr>
          <w:p w14:paraId="02D0900B" w14:textId="77777777" w:rsidR="00EF606C" w:rsidRPr="00D8792B" w:rsidRDefault="00EF606C" w:rsidP="000C2AED">
            <w:pPr>
              <w:pStyle w:val="Pa1"/>
              <w:jc w:val="center"/>
              <w:rPr>
                <w:color w:val="221E1F"/>
                <w:sz w:val="20"/>
                <w:szCs w:val="20"/>
              </w:rPr>
            </w:pPr>
            <w:r w:rsidRPr="00D8792B">
              <w:rPr>
                <w:rStyle w:val="A6"/>
              </w:rPr>
              <w:t>11,382,809</w:t>
            </w:r>
          </w:p>
        </w:tc>
        <w:tc>
          <w:tcPr>
            <w:tcW w:w="1263" w:type="dxa"/>
            <w:shd w:val="clear" w:color="auto" w:fill="auto"/>
            <w:vAlign w:val="center"/>
          </w:tcPr>
          <w:p w14:paraId="1632ACFF" w14:textId="77777777" w:rsidR="00EF606C" w:rsidRPr="00D8792B" w:rsidRDefault="00EF606C" w:rsidP="000C2AED">
            <w:pPr>
              <w:pStyle w:val="Pa1"/>
              <w:jc w:val="center"/>
              <w:rPr>
                <w:i/>
                <w:iCs/>
                <w:color w:val="221E1F"/>
                <w:sz w:val="20"/>
                <w:szCs w:val="20"/>
              </w:rPr>
            </w:pPr>
            <w:r w:rsidRPr="00D8792B">
              <w:rPr>
                <w:rStyle w:val="A6"/>
                <w:i/>
                <w:iCs/>
              </w:rPr>
              <w:t>44,101,687</w:t>
            </w:r>
          </w:p>
        </w:tc>
      </w:tr>
      <w:tr w:rsidR="00EF606C" w:rsidRPr="00D8792B" w14:paraId="06676700" w14:textId="77777777" w:rsidTr="00906924">
        <w:tc>
          <w:tcPr>
            <w:tcW w:w="3397" w:type="dxa"/>
            <w:shd w:val="clear" w:color="auto" w:fill="D9D9D9" w:themeFill="background1" w:themeFillShade="D9"/>
            <w:vAlign w:val="center"/>
          </w:tcPr>
          <w:p w14:paraId="37EE79BE" w14:textId="77777777" w:rsidR="00EF606C" w:rsidRPr="00D8792B" w:rsidRDefault="00EF606C" w:rsidP="000C2AED">
            <w:pPr>
              <w:pStyle w:val="REG-P0"/>
              <w:jc w:val="center"/>
              <w:rPr>
                <w:sz w:val="20"/>
                <w:szCs w:val="20"/>
              </w:rPr>
            </w:pPr>
            <w:r w:rsidRPr="00D8792B">
              <w:rPr>
                <w:sz w:val="20"/>
                <w:szCs w:val="20"/>
              </w:rPr>
              <w:t>CAPEX</w:t>
            </w:r>
          </w:p>
        </w:tc>
        <w:tc>
          <w:tcPr>
            <w:tcW w:w="1276" w:type="dxa"/>
            <w:shd w:val="clear" w:color="auto" w:fill="auto"/>
            <w:vAlign w:val="center"/>
          </w:tcPr>
          <w:p w14:paraId="52C144CA" w14:textId="77777777" w:rsidR="00EF606C" w:rsidRPr="00D8792B" w:rsidRDefault="00EF606C" w:rsidP="000C2AED">
            <w:pPr>
              <w:pStyle w:val="Pa1"/>
              <w:jc w:val="center"/>
              <w:rPr>
                <w:color w:val="221E1F"/>
                <w:sz w:val="20"/>
                <w:szCs w:val="20"/>
              </w:rPr>
            </w:pPr>
            <w:r w:rsidRPr="00D8792B">
              <w:rPr>
                <w:rStyle w:val="A6"/>
              </w:rPr>
              <w:t>12,480,554</w:t>
            </w:r>
          </w:p>
        </w:tc>
        <w:tc>
          <w:tcPr>
            <w:tcW w:w="1276" w:type="dxa"/>
            <w:shd w:val="clear" w:color="auto" w:fill="auto"/>
            <w:vAlign w:val="center"/>
          </w:tcPr>
          <w:p w14:paraId="5B78E042" w14:textId="77777777" w:rsidR="00EF606C" w:rsidRPr="00D8792B" w:rsidRDefault="00EF606C" w:rsidP="000C2AED">
            <w:pPr>
              <w:pStyle w:val="Pa1"/>
              <w:jc w:val="center"/>
              <w:rPr>
                <w:color w:val="221E1F"/>
                <w:sz w:val="20"/>
                <w:szCs w:val="20"/>
              </w:rPr>
            </w:pPr>
            <w:r w:rsidRPr="00D8792B">
              <w:rPr>
                <w:rStyle w:val="A6"/>
              </w:rPr>
              <w:t>27,313,392</w:t>
            </w:r>
          </w:p>
        </w:tc>
        <w:tc>
          <w:tcPr>
            <w:tcW w:w="1276" w:type="dxa"/>
            <w:shd w:val="clear" w:color="auto" w:fill="auto"/>
            <w:vAlign w:val="center"/>
          </w:tcPr>
          <w:p w14:paraId="47402CE0" w14:textId="77777777" w:rsidR="00EF606C" w:rsidRPr="00D8792B" w:rsidRDefault="00EF606C" w:rsidP="000C2AED">
            <w:pPr>
              <w:pStyle w:val="Pa1"/>
              <w:jc w:val="center"/>
              <w:rPr>
                <w:color w:val="221E1F"/>
                <w:sz w:val="20"/>
                <w:szCs w:val="20"/>
              </w:rPr>
            </w:pPr>
            <w:r w:rsidRPr="00D8792B">
              <w:rPr>
                <w:rStyle w:val="A6"/>
              </w:rPr>
              <w:t>22,135,947</w:t>
            </w:r>
          </w:p>
        </w:tc>
        <w:tc>
          <w:tcPr>
            <w:tcW w:w="1263" w:type="dxa"/>
            <w:shd w:val="clear" w:color="auto" w:fill="auto"/>
            <w:vAlign w:val="center"/>
          </w:tcPr>
          <w:p w14:paraId="0406729B" w14:textId="77777777" w:rsidR="00EF606C" w:rsidRPr="00D8792B" w:rsidRDefault="00EF606C" w:rsidP="000C2AED">
            <w:pPr>
              <w:pStyle w:val="Pa1"/>
              <w:jc w:val="center"/>
              <w:rPr>
                <w:i/>
                <w:iCs/>
                <w:color w:val="221E1F"/>
                <w:sz w:val="20"/>
                <w:szCs w:val="20"/>
              </w:rPr>
            </w:pPr>
            <w:r w:rsidRPr="00D8792B">
              <w:rPr>
                <w:rStyle w:val="A6"/>
                <w:i/>
                <w:iCs/>
              </w:rPr>
              <w:t>61,929,893</w:t>
            </w:r>
          </w:p>
        </w:tc>
      </w:tr>
      <w:tr w:rsidR="00EF606C" w:rsidRPr="00D8792B" w14:paraId="241F4A3B" w14:textId="77777777" w:rsidTr="00906924">
        <w:tc>
          <w:tcPr>
            <w:tcW w:w="3397" w:type="dxa"/>
            <w:shd w:val="clear" w:color="auto" w:fill="D9D9D9" w:themeFill="background1" w:themeFillShade="D9"/>
            <w:vAlign w:val="center"/>
          </w:tcPr>
          <w:p w14:paraId="47E71170" w14:textId="77777777" w:rsidR="00EF606C" w:rsidRPr="00D8792B" w:rsidRDefault="00EF606C" w:rsidP="000C2AED">
            <w:pPr>
              <w:pStyle w:val="REG-P0"/>
              <w:jc w:val="center"/>
              <w:rPr>
                <w:b/>
                <w:bCs/>
                <w:i/>
                <w:iCs/>
                <w:sz w:val="20"/>
                <w:szCs w:val="20"/>
              </w:rPr>
            </w:pPr>
            <w:r w:rsidRPr="00D8792B">
              <w:rPr>
                <w:b/>
                <w:bCs/>
                <w:i/>
                <w:iCs/>
                <w:sz w:val="20"/>
                <w:szCs w:val="20"/>
              </w:rPr>
              <w:t>Over/Under-recovery</w:t>
            </w:r>
          </w:p>
        </w:tc>
        <w:tc>
          <w:tcPr>
            <w:tcW w:w="1276" w:type="dxa"/>
            <w:shd w:val="clear" w:color="auto" w:fill="auto"/>
            <w:vAlign w:val="center"/>
          </w:tcPr>
          <w:p w14:paraId="0694D680" w14:textId="77777777" w:rsidR="00EF606C" w:rsidRPr="00D8792B" w:rsidRDefault="00EF606C" w:rsidP="000C2AED">
            <w:pPr>
              <w:pStyle w:val="REG-P0"/>
              <w:jc w:val="center"/>
              <w:rPr>
                <w:sz w:val="20"/>
                <w:szCs w:val="20"/>
              </w:rPr>
            </w:pPr>
          </w:p>
        </w:tc>
        <w:tc>
          <w:tcPr>
            <w:tcW w:w="1276" w:type="dxa"/>
            <w:shd w:val="clear" w:color="auto" w:fill="auto"/>
            <w:vAlign w:val="center"/>
          </w:tcPr>
          <w:p w14:paraId="16F593B1" w14:textId="77777777" w:rsidR="00EF606C" w:rsidRPr="00D8792B" w:rsidRDefault="00EF606C" w:rsidP="000C2AED">
            <w:pPr>
              <w:pStyle w:val="REG-P0"/>
              <w:jc w:val="center"/>
              <w:rPr>
                <w:sz w:val="20"/>
                <w:szCs w:val="20"/>
              </w:rPr>
            </w:pPr>
          </w:p>
        </w:tc>
        <w:tc>
          <w:tcPr>
            <w:tcW w:w="1276" w:type="dxa"/>
            <w:shd w:val="clear" w:color="auto" w:fill="auto"/>
            <w:vAlign w:val="center"/>
          </w:tcPr>
          <w:p w14:paraId="662FA0B3" w14:textId="77777777" w:rsidR="00EF606C" w:rsidRPr="00D8792B" w:rsidRDefault="00EF606C" w:rsidP="000C2AED">
            <w:pPr>
              <w:pStyle w:val="REG-P0"/>
              <w:jc w:val="center"/>
              <w:rPr>
                <w:sz w:val="20"/>
                <w:szCs w:val="20"/>
              </w:rPr>
            </w:pPr>
          </w:p>
        </w:tc>
        <w:tc>
          <w:tcPr>
            <w:tcW w:w="1263" w:type="dxa"/>
            <w:shd w:val="clear" w:color="auto" w:fill="auto"/>
            <w:vAlign w:val="center"/>
          </w:tcPr>
          <w:p w14:paraId="4C34E418" w14:textId="77777777" w:rsidR="00EF606C" w:rsidRPr="00D8792B" w:rsidRDefault="00EF606C" w:rsidP="000C2AED">
            <w:pPr>
              <w:pStyle w:val="Pa1"/>
              <w:jc w:val="center"/>
              <w:rPr>
                <w:i/>
                <w:iCs/>
                <w:color w:val="221E1F"/>
                <w:sz w:val="20"/>
                <w:szCs w:val="20"/>
              </w:rPr>
            </w:pPr>
            <w:r w:rsidRPr="00D8792B">
              <w:rPr>
                <w:rStyle w:val="A6"/>
                <w:i/>
                <w:iCs/>
              </w:rPr>
              <w:t>(6,486,842)</w:t>
            </w:r>
          </w:p>
        </w:tc>
      </w:tr>
      <w:tr w:rsidR="00EF606C" w:rsidRPr="00D8792B" w14:paraId="4778E3DB" w14:textId="77777777" w:rsidTr="00906924">
        <w:tc>
          <w:tcPr>
            <w:tcW w:w="3397" w:type="dxa"/>
            <w:shd w:val="clear" w:color="auto" w:fill="D9D9D9" w:themeFill="background1" w:themeFillShade="D9"/>
            <w:vAlign w:val="center"/>
          </w:tcPr>
          <w:p w14:paraId="5F6F8748" w14:textId="77777777" w:rsidR="00EF606C" w:rsidRPr="00921F30" w:rsidRDefault="00EF606C" w:rsidP="000C2AED">
            <w:pPr>
              <w:pStyle w:val="REG-P0"/>
              <w:jc w:val="center"/>
              <w:rPr>
                <w:b/>
                <w:bCs/>
                <w:i/>
                <w:iCs/>
                <w:sz w:val="20"/>
                <w:szCs w:val="20"/>
              </w:rPr>
            </w:pPr>
            <w:r w:rsidRPr="00921F30">
              <w:rPr>
                <w:b/>
                <w:bCs/>
                <w:i/>
                <w:iCs/>
                <w:sz w:val="20"/>
                <w:szCs w:val="20"/>
              </w:rPr>
              <w:t>Spectrum auction and fixed fees</w:t>
            </w:r>
          </w:p>
        </w:tc>
        <w:tc>
          <w:tcPr>
            <w:tcW w:w="1276" w:type="dxa"/>
            <w:shd w:val="clear" w:color="auto" w:fill="auto"/>
            <w:vAlign w:val="center"/>
          </w:tcPr>
          <w:p w14:paraId="54A5CACB" w14:textId="77777777" w:rsidR="00EF606C" w:rsidRPr="00921F30" w:rsidRDefault="00EF606C" w:rsidP="000C2AED">
            <w:pPr>
              <w:pStyle w:val="Pa1"/>
              <w:jc w:val="center"/>
              <w:rPr>
                <w:b/>
                <w:bCs/>
                <w:color w:val="221E1F"/>
                <w:sz w:val="20"/>
                <w:szCs w:val="20"/>
              </w:rPr>
            </w:pPr>
            <w:r w:rsidRPr="00921F30">
              <w:rPr>
                <w:rStyle w:val="A6"/>
                <w:b/>
                <w:bCs/>
              </w:rPr>
              <w:t>5,937,436.03</w:t>
            </w:r>
          </w:p>
        </w:tc>
        <w:tc>
          <w:tcPr>
            <w:tcW w:w="1276" w:type="dxa"/>
            <w:shd w:val="clear" w:color="auto" w:fill="auto"/>
            <w:vAlign w:val="center"/>
          </w:tcPr>
          <w:p w14:paraId="7761AE53" w14:textId="77777777" w:rsidR="00EF606C" w:rsidRPr="00921F30" w:rsidRDefault="00EF606C" w:rsidP="000C2AED">
            <w:pPr>
              <w:pStyle w:val="REG-P0"/>
              <w:jc w:val="center"/>
              <w:rPr>
                <w:b/>
                <w:bCs/>
                <w:sz w:val="20"/>
                <w:szCs w:val="20"/>
              </w:rPr>
            </w:pPr>
            <w:r w:rsidRPr="00921F30">
              <w:rPr>
                <w:rStyle w:val="A6"/>
                <w:b/>
                <w:bCs/>
              </w:rPr>
              <w:t>5,937,436.03</w:t>
            </w:r>
          </w:p>
        </w:tc>
        <w:tc>
          <w:tcPr>
            <w:tcW w:w="1276" w:type="dxa"/>
            <w:shd w:val="clear" w:color="auto" w:fill="auto"/>
            <w:vAlign w:val="center"/>
          </w:tcPr>
          <w:p w14:paraId="7969AB86" w14:textId="77777777" w:rsidR="00EF606C" w:rsidRPr="00921F30" w:rsidRDefault="00EF606C" w:rsidP="000C2AED">
            <w:pPr>
              <w:pStyle w:val="REG-P0"/>
              <w:jc w:val="center"/>
              <w:rPr>
                <w:b/>
                <w:bCs/>
                <w:sz w:val="20"/>
                <w:szCs w:val="20"/>
              </w:rPr>
            </w:pPr>
            <w:r w:rsidRPr="00921F30">
              <w:rPr>
                <w:rStyle w:val="A6"/>
                <w:b/>
                <w:bCs/>
              </w:rPr>
              <w:t>5,937,436.03</w:t>
            </w:r>
          </w:p>
        </w:tc>
        <w:tc>
          <w:tcPr>
            <w:tcW w:w="1263" w:type="dxa"/>
            <w:shd w:val="clear" w:color="auto" w:fill="auto"/>
            <w:vAlign w:val="center"/>
          </w:tcPr>
          <w:p w14:paraId="65E619CE" w14:textId="77777777" w:rsidR="00EF606C" w:rsidRPr="00921F30" w:rsidRDefault="00EF606C" w:rsidP="000C2AED">
            <w:pPr>
              <w:pStyle w:val="Pa1"/>
              <w:jc w:val="center"/>
              <w:rPr>
                <w:b/>
                <w:bCs/>
                <w:i/>
                <w:iCs/>
                <w:color w:val="221E1F"/>
                <w:sz w:val="20"/>
                <w:szCs w:val="20"/>
              </w:rPr>
            </w:pPr>
            <w:r w:rsidRPr="00921F30">
              <w:rPr>
                <w:rStyle w:val="A6"/>
                <w:b/>
                <w:bCs/>
                <w:i/>
                <w:iCs/>
              </w:rPr>
              <w:t>17,812,308</w:t>
            </w:r>
          </w:p>
        </w:tc>
      </w:tr>
      <w:tr w:rsidR="00EF606C" w:rsidRPr="00D8792B" w14:paraId="549ADBDC" w14:textId="77777777" w:rsidTr="00906924">
        <w:tc>
          <w:tcPr>
            <w:tcW w:w="3397" w:type="dxa"/>
            <w:shd w:val="clear" w:color="auto" w:fill="D9D9D9" w:themeFill="background1" w:themeFillShade="D9"/>
            <w:vAlign w:val="center"/>
          </w:tcPr>
          <w:p w14:paraId="03CA113E" w14:textId="77777777" w:rsidR="00EF606C" w:rsidRPr="00D8792B" w:rsidRDefault="00EF606C" w:rsidP="000C2AED">
            <w:pPr>
              <w:pStyle w:val="REG-P0"/>
              <w:jc w:val="center"/>
              <w:rPr>
                <w:b/>
                <w:bCs/>
                <w:i/>
                <w:iCs/>
                <w:sz w:val="20"/>
                <w:szCs w:val="20"/>
              </w:rPr>
            </w:pPr>
          </w:p>
        </w:tc>
        <w:tc>
          <w:tcPr>
            <w:tcW w:w="1276" w:type="dxa"/>
            <w:shd w:val="clear" w:color="auto" w:fill="auto"/>
            <w:vAlign w:val="center"/>
          </w:tcPr>
          <w:p w14:paraId="7A043257" w14:textId="77777777" w:rsidR="00EF606C" w:rsidRPr="00D8792B" w:rsidRDefault="00EF606C" w:rsidP="000C2AED">
            <w:pPr>
              <w:pStyle w:val="REG-P0"/>
              <w:jc w:val="center"/>
              <w:rPr>
                <w:sz w:val="20"/>
                <w:szCs w:val="20"/>
              </w:rPr>
            </w:pPr>
          </w:p>
        </w:tc>
        <w:tc>
          <w:tcPr>
            <w:tcW w:w="1276" w:type="dxa"/>
            <w:shd w:val="clear" w:color="auto" w:fill="auto"/>
            <w:vAlign w:val="center"/>
          </w:tcPr>
          <w:p w14:paraId="0E0C2400" w14:textId="77777777" w:rsidR="00EF606C" w:rsidRPr="00D8792B" w:rsidRDefault="00EF606C" w:rsidP="000C2AED">
            <w:pPr>
              <w:pStyle w:val="REG-P0"/>
              <w:jc w:val="center"/>
              <w:rPr>
                <w:sz w:val="20"/>
                <w:szCs w:val="20"/>
              </w:rPr>
            </w:pPr>
          </w:p>
        </w:tc>
        <w:tc>
          <w:tcPr>
            <w:tcW w:w="1276" w:type="dxa"/>
            <w:shd w:val="clear" w:color="auto" w:fill="auto"/>
            <w:vAlign w:val="center"/>
          </w:tcPr>
          <w:p w14:paraId="02CDD92A" w14:textId="77777777" w:rsidR="00EF606C" w:rsidRPr="00D8792B" w:rsidRDefault="00EF606C" w:rsidP="000C2AED">
            <w:pPr>
              <w:pStyle w:val="REG-P0"/>
              <w:jc w:val="center"/>
              <w:rPr>
                <w:sz w:val="20"/>
                <w:szCs w:val="20"/>
              </w:rPr>
            </w:pPr>
          </w:p>
        </w:tc>
        <w:tc>
          <w:tcPr>
            <w:tcW w:w="1263" w:type="dxa"/>
            <w:shd w:val="clear" w:color="auto" w:fill="auto"/>
            <w:vAlign w:val="center"/>
          </w:tcPr>
          <w:p w14:paraId="2E10C679" w14:textId="77777777" w:rsidR="00EF606C" w:rsidRPr="00921F30" w:rsidRDefault="00EF606C" w:rsidP="000C2AED">
            <w:pPr>
              <w:pStyle w:val="Pa1"/>
              <w:jc w:val="center"/>
              <w:rPr>
                <w:rStyle w:val="A6"/>
                <w:b/>
                <w:bCs/>
                <w:i/>
                <w:iCs/>
                <w:lang w:val="en-US"/>
              </w:rPr>
            </w:pPr>
            <w:r w:rsidRPr="00921F30">
              <w:rPr>
                <w:rStyle w:val="A6"/>
                <w:b/>
                <w:bCs/>
                <w:i/>
                <w:iCs/>
                <w:lang w:val="en-US"/>
              </w:rPr>
              <w:t>81,732,430</w:t>
            </w:r>
          </w:p>
        </w:tc>
      </w:tr>
      <w:tr w:rsidR="00EF606C" w:rsidRPr="00D8792B" w14:paraId="27BAA69C" w14:textId="77777777" w:rsidTr="00906924">
        <w:tc>
          <w:tcPr>
            <w:tcW w:w="3397" w:type="dxa"/>
            <w:shd w:val="clear" w:color="auto" w:fill="D9D9D9" w:themeFill="background1" w:themeFillShade="D9"/>
            <w:vAlign w:val="center"/>
          </w:tcPr>
          <w:p w14:paraId="53F177D7" w14:textId="77777777" w:rsidR="00EF606C" w:rsidRPr="00921F30" w:rsidRDefault="00EF606C" w:rsidP="000C2AED">
            <w:pPr>
              <w:pStyle w:val="REG-P0"/>
              <w:jc w:val="center"/>
              <w:rPr>
                <w:b/>
                <w:bCs/>
                <w:i/>
                <w:iCs/>
                <w:sz w:val="20"/>
                <w:szCs w:val="20"/>
              </w:rPr>
            </w:pPr>
            <w:r w:rsidRPr="00921F30">
              <w:rPr>
                <w:b/>
                <w:bCs/>
                <w:i/>
                <w:iCs/>
                <w:sz w:val="20"/>
                <w:szCs w:val="20"/>
              </w:rPr>
              <w:t>Total projected Revenue</w:t>
            </w:r>
          </w:p>
        </w:tc>
        <w:tc>
          <w:tcPr>
            <w:tcW w:w="1276" w:type="dxa"/>
            <w:shd w:val="clear" w:color="auto" w:fill="auto"/>
            <w:vAlign w:val="center"/>
          </w:tcPr>
          <w:p w14:paraId="718F42AD" w14:textId="77777777" w:rsidR="00EF606C" w:rsidRPr="00921F30" w:rsidRDefault="00EF606C" w:rsidP="000C2AED">
            <w:pPr>
              <w:pStyle w:val="REG-P0"/>
              <w:jc w:val="center"/>
              <w:rPr>
                <w:sz w:val="20"/>
                <w:szCs w:val="20"/>
              </w:rPr>
            </w:pPr>
            <w:r w:rsidRPr="00921F30">
              <w:rPr>
                <w:sz w:val="20"/>
                <w:szCs w:val="20"/>
              </w:rPr>
              <w:t>27,166,755</w:t>
            </w:r>
          </w:p>
        </w:tc>
        <w:tc>
          <w:tcPr>
            <w:tcW w:w="1276" w:type="dxa"/>
            <w:shd w:val="clear" w:color="auto" w:fill="auto"/>
            <w:vAlign w:val="center"/>
          </w:tcPr>
          <w:p w14:paraId="1FFDE34E" w14:textId="77777777" w:rsidR="00EF606C" w:rsidRPr="00921F30" w:rsidRDefault="00EF606C" w:rsidP="000C2AED">
            <w:pPr>
              <w:pStyle w:val="REG-P0"/>
              <w:jc w:val="center"/>
              <w:rPr>
                <w:sz w:val="20"/>
                <w:szCs w:val="20"/>
              </w:rPr>
            </w:pPr>
            <w:r w:rsidRPr="00921F30">
              <w:rPr>
                <w:sz w:val="20"/>
                <w:szCs w:val="20"/>
              </w:rPr>
              <w:t>27,166,755</w:t>
            </w:r>
          </w:p>
        </w:tc>
        <w:tc>
          <w:tcPr>
            <w:tcW w:w="1276" w:type="dxa"/>
            <w:shd w:val="clear" w:color="auto" w:fill="auto"/>
            <w:vAlign w:val="center"/>
          </w:tcPr>
          <w:p w14:paraId="6A05F5EF" w14:textId="77777777" w:rsidR="00EF606C" w:rsidRPr="00921F30" w:rsidRDefault="00EF606C" w:rsidP="000C2AED">
            <w:pPr>
              <w:pStyle w:val="REG-P0"/>
              <w:jc w:val="center"/>
              <w:rPr>
                <w:sz w:val="20"/>
                <w:szCs w:val="20"/>
              </w:rPr>
            </w:pPr>
            <w:r w:rsidRPr="00921F30">
              <w:rPr>
                <w:sz w:val="20"/>
                <w:szCs w:val="20"/>
              </w:rPr>
              <w:t>27,166,755</w:t>
            </w:r>
          </w:p>
        </w:tc>
        <w:tc>
          <w:tcPr>
            <w:tcW w:w="1263" w:type="dxa"/>
            <w:shd w:val="clear" w:color="auto" w:fill="auto"/>
            <w:vAlign w:val="center"/>
          </w:tcPr>
          <w:p w14:paraId="01B8C06C" w14:textId="77777777" w:rsidR="00EF606C" w:rsidRPr="00921F30" w:rsidRDefault="00EF606C" w:rsidP="000C2AED">
            <w:pPr>
              <w:pStyle w:val="Pa1"/>
              <w:jc w:val="center"/>
              <w:rPr>
                <w:rStyle w:val="A6"/>
                <w:i/>
                <w:iCs/>
                <w:lang w:val="en-US"/>
              </w:rPr>
            </w:pPr>
            <w:r w:rsidRPr="00921F30">
              <w:rPr>
                <w:rStyle w:val="A6"/>
                <w:i/>
                <w:iCs/>
                <w:lang w:val="en-US"/>
              </w:rPr>
              <w:t>81,500,265</w:t>
            </w:r>
          </w:p>
        </w:tc>
      </w:tr>
      <w:tr w:rsidR="00EF606C" w:rsidRPr="00D8792B" w14:paraId="34E81A56" w14:textId="77777777" w:rsidTr="00906924">
        <w:tc>
          <w:tcPr>
            <w:tcW w:w="3397" w:type="dxa"/>
            <w:shd w:val="clear" w:color="auto" w:fill="D9D9D9" w:themeFill="background1" w:themeFillShade="D9"/>
            <w:vAlign w:val="center"/>
          </w:tcPr>
          <w:p w14:paraId="3E966B11" w14:textId="77777777" w:rsidR="00EF606C" w:rsidRPr="00D8792B" w:rsidRDefault="00EF606C" w:rsidP="000C2AED">
            <w:pPr>
              <w:pStyle w:val="REG-P0"/>
              <w:jc w:val="center"/>
              <w:rPr>
                <w:b/>
                <w:bCs/>
                <w:i/>
                <w:iCs/>
                <w:sz w:val="20"/>
                <w:szCs w:val="20"/>
              </w:rPr>
            </w:pPr>
            <w:r w:rsidRPr="00D8792B">
              <w:rPr>
                <w:b/>
                <w:bCs/>
                <w:i/>
                <w:iCs/>
                <w:sz w:val="20"/>
                <w:szCs w:val="20"/>
              </w:rPr>
              <w:t>Total Budgeted Revenue Requirement</w:t>
            </w:r>
          </w:p>
        </w:tc>
        <w:tc>
          <w:tcPr>
            <w:tcW w:w="1276" w:type="dxa"/>
            <w:shd w:val="clear" w:color="auto" w:fill="auto"/>
            <w:vAlign w:val="center"/>
          </w:tcPr>
          <w:p w14:paraId="2B964517" w14:textId="77777777" w:rsidR="00EF606C" w:rsidRPr="00D8792B" w:rsidRDefault="00EF606C" w:rsidP="000C2AED">
            <w:pPr>
              <w:pStyle w:val="REG-P0"/>
              <w:jc w:val="center"/>
              <w:rPr>
                <w:sz w:val="20"/>
                <w:szCs w:val="20"/>
              </w:rPr>
            </w:pPr>
          </w:p>
        </w:tc>
        <w:tc>
          <w:tcPr>
            <w:tcW w:w="1276" w:type="dxa"/>
            <w:shd w:val="clear" w:color="auto" w:fill="auto"/>
            <w:vAlign w:val="center"/>
          </w:tcPr>
          <w:p w14:paraId="3EE55BFF" w14:textId="77777777" w:rsidR="00EF606C" w:rsidRPr="00D8792B" w:rsidRDefault="00EF606C" w:rsidP="000C2AED">
            <w:pPr>
              <w:pStyle w:val="REG-P0"/>
              <w:jc w:val="center"/>
              <w:rPr>
                <w:sz w:val="20"/>
                <w:szCs w:val="20"/>
              </w:rPr>
            </w:pPr>
          </w:p>
        </w:tc>
        <w:tc>
          <w:tcPr>
            <w:tcW w:w="1276" w:type="dxa"/>
            <w:shd w:val="clear" w:color="auto" w:fill="auto"/>
            <w:vAlign w:val="center"/>
          </w:tcPr>
          <w:p w14:paraId="00071AE9" w14:textId="77777777" w:rsidR="00EF606C" w:rsidRPr="00D8792B" w:rsidRDefault="00EF606C" w:rsidP="000C2AED">
            <w:pPr>
              <w:pStyle w:val="REG-P0"/>
              <w:jc w:val="center"/>
              <w:rPr>
                <w:sz w:val="20"/>
                <w:szCs w:val="20"/>
              </w:rPr>
            </w:pPr>
          </w:p>
        </w:tc>
        <w:tc>
          <w:tcPr>
            <w:tcW w:w="1263" w:type="dxa"/>
            <w:shd w:val="clear" w:color="auto" w:fill="auto"/>
            <w:vAlign w:val="center"/>
          </w:tcPr>
          <w:p w14:paraId="2BA004E2" w14:textId="77777777" w:rsidR="00EF606C" w:rsidRPr="00921F30" w:rsidRDefault="00EF606C" w:rsidP="000C2AED">
            <w:pPr>
              <w:pStyle w:val="Pa1"/>
              <w:jc w:val="center"/>
              <w:rPr>
                <w:rStyle w:val="A6"/>
                <w:b/>
                <w:bCs/>
                <w:i/>
                <w:iCs/>
                <w:lang w:val="en-US"/>
              </w:rPr>
            </w:pPr>
            <w:r w:rsidRPr="00921F30">
              <w:rPr>
                <w:rStyle w:val="A6"/>
                <w:b/>
                <w:bCs/>
                <w:i/>
                <w:iCs/>
                <w:lang w:val="en-US"/>
              </w:rPr>
              <w:t>232,165</w:t>
            </w:r>
          </w:p>
        </w:tc>
      </w:tr>
    </w:tbl>
    <w:p w14:paraId="47471A40" w14:textId="77777777" w:rsidR="00EF606C" w:rsidRDefault="00EF606C" w:rsidP="00EF606C">
      <w:pPr>
        <w:pStyle w:val="REG-P0"/>
      </w:pPr>
    </w:p>
    <w:p w14:paraId="0DC6EE42" w14:textId="77777777" w:rsidR="00EF606C" w:rsidRDefault="00EF606C" w:rsidP="00EF606C">
      <w:pPr>
        <w:pStyle w:val="REG-P0"/>
        <w:rPr>
          <w:lang/>
        </w:rPr>
      </w:pPr>
      <w:r w:rsidRPr="00921F30">
        <w:rPr>
          <w:lang/>
        </w:rPr>
        <w:t>Over the three-year period there will be an over-recovery of N$ 232,165 which will then be subtracted from the revenue requirement during the next spectrum fee determination.</w:t>
      </w:r>
    </w:p>
    <w:p w14:paraId="23AF07C3" w14:textId="77777777" w:rsidR="00EF606C" w:rsidRPr="00921F30" w:rsidRDefault="00EF606C" w:rsidP="00EF606C">
      <w:pPr>
        <w:pStyle w:val="REG-P0"/>
        <w:rPr>
          <w:lang/>
        </w:rPr>
      </w:pPr>
    </w:p>
    <w:p w14:paraId="0CC976A5" w14:textId="77777777" w:rsidR="00EF606C" w:rsidRDefault="00EF606C" w:rsidP="00EF606C">
      <w:pPr>
        <w:pStyle w:val="REG-P0"/>
        <w:rPr>
          <w:rFonts w:eastAsiaTheme="minorHAnsi"/>
          <w:lang/>
        </w:rPr>
      </w:pPr>
      <w:r w:rsidRPr="00921F30">
        <w:rPr>
          <w:rFonts w:eastAsiaTheme="minorHAnsi"/>
          <w:b/>
          <w:bCs/>
          <w:lang/>
        </w:rPr>
        <w:t xml:space="preserve">Note: </w:t>
      </w:r>
      <w:r w:rsidRPr="00921F30">
        <w:rPr>
          <w:rFonts w:eastAsiaTheme="minorHAnsi"/>
          <w:lang/>
        </w:rPr>
        <w:t>The final position of this paper has duly considered all written input made to the notice of intention to amend the regulations as published in Government Gazette No. 8180, General Notice No. 494 dated 21 August 2023, and oral submissions made at the oral hearings held on 20 September 2023 and 3 October 2023, respectively.</w:t>
      </w:r>
    </w:p>
    <w:p w14:paraId="27D95143" w14:textId="77777777" w:rsidR="00EF606C" w:rsidRDefault="00EF606C" w:rsidP="00EF606C">
      <w:pPr>
        <w:pStyle w:val="REG-P0"/>
        <w:rPr>
          <w:rFonts w:eastAsiaTheme="minorHAnsi"/>
          <w:lang/>
        </w:rPr>
      </w:pPr>
    </w:p>
    <w:p w14:paraId="570F4F74" w14:textId="77777777" w:rsidR="00EF606C" w:rsidRPr="00775F22" w:rsidRDefault="00EF606C" w:rsidP="00775F22">
      <w:pPr>
        <w:pStyle w:val="REG-P0"/>
        <w:rPr>
          <w:b/>
        </w:rPr>
      </w:pPr>
      <w:r w:rsidRPr="00775F22">
        <w:rPr>
          <w:b/>
        </w:rPr>
        <w:t>REFERENCES</w:t>
      </w:r>
    </w:p>
    <w:p w14:paraId="0168065D" w14:textId="77777777" w:rsidR="00EF606C" w:rsidRPr="00921F30" w:rsidRDefault="00EF606C" w:rsidP="00775F22">
      <w:pPr>
        <w:pStyle w:val="REG-P0"/>
        <w:rPr>
          <w:noProof w:val="0"/>
          <w:color w:val="221E1F"/>
          <w:lang/>
        </w:rPr>
      </w:pPr>
    </w:p>
    <w:p w14:paraId="0EC8BC82" w14:textId="77777777" w:rsidR="00EF606C" w:rsidRPr="00921F30" w:rsidRDefault="00EF606C" w:rsidP="00EF606C">
      <w:pPr>
        <w:pStyle w:val="REG-P0"/>
      </w:pPr>
      <w:r w:rsidRPr="00921F30">
        <w:t>https://www.itu.int/en/ITU-D/Spectrum-Broadcasting/Documents/Publications/Guidelines_SpectrumFees_Final_E.pdf</w:t>
      </w:r>
    </w:p>
    <w:p w14:paraId="6A4FDA19" w14:textId="6AA86937" w:rsidR="00B865C8" w:rsidRPr="00513BF0" w:rsidRDefault="00B865C8" w:rsidP="00B865C8">
      <w:pPr>
        <w:pStyle w:val="BodyText"/>
        <w:spacing w:before="6"/>
        <w:ind w:left="0"/>
        <w:rPr>
          <w:rFonts w:cs="Times New Roman"/>
          <w:sz w:val="20"/>
          <w:szCs w:val="20"/>
        </w:rPr>
      </w:pPr>
    </w:p>
    <w:sectPr w:rsidR="00B865C8" w:rsidRPr="00513BF0"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6613A" w14:textId="77777777" w:rsidR="004E3B74" w:rsidRDefault="004E3B74">
      <w:r>
        <w:separator/>
      </w:r>
    </w:p>
  </w:endnote>
  <w:endnote w:type="continuationSeparator" w:id="0">
    <w:p w14:paraId="7C347358" w14:textId="77777777" w:rsidR="004E3B74" w:rsidRDefault="004E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1216" w14:textId="77777777" w:rsidR="004E3B74" w:rsidRDefault="004E3B74">
      <w:r>
        <w:separator/>
      </w:r>
    </w:p>
  </w:footnote>
  <w:footnote w:type="continuationSeparator" w:id="0">
    <w:p w14:paraId="2602AE42" w14:textId="77777777" w:rsidR="004E3B74" w:rsidRDefault="004E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47A2335F" w:rsidR="00F02DA4" w:rsidRPr="007D7264" w:rsidRDefault="00F02DA4"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410ADE25">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3C25205"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C80153">
      <w:rPr>
        <w:rFonts w:ascii="Arial" w:hAnsi="Arial" w:cs="Arial"/>
        <w:b/>
        <w:sz w:val="16"/>
        <w:szCs w:val="16"/>
      </w:rPr>
      <w:t>30</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208ACE9B" w14:textId="77777777" w:rsidR="00F02DA4" w:rsidRPr="00F25922" w:rsidRDefault="00F02DA4" w:rsidP="00F25922">
    <w:pPr>
      <w:pStyle w:val="REG-PHA"/>
    </w:pPr>
    <w:r w:rsidRPr="00F25922">
      <w:t>REGULATIONS</w:t>
    </w:r>
  </w:p>
  <w:p w14:paraId="0824DEC3" w14:textId="03651F4C" w:rsidR="00F02DA4" w:rsidRDefault="00F02DA4" w:rsidP="00F86229">
    <w:pPr>
      <w:pStyle w:val="REG-PHb"/>
      <w:spacing w:after="120"/>
    </w:pPr>
    <w:r>
      <w:t>Communications Act 8 of 2009</w:t>
    </w:r>
  </w:p>
  <w:p w14:paraId="09829923" w14:textId="0F83880C" w:rsidR="00F02DA4" w:rsidRPr="00CD5D16" w:rsidRDefault="00F02DA4" w:rsidP="002A623E">
    <w:pPr>
      <w:pStyle w:val="REG-PHb"/>
      <w:rPr>
        <w:lang w:val="en-US"/>
      </w:rPr>
    </w:pPr>
    <w:r>
      <w:t>Regulations Setting out Fees for Spectrum Licences, Certificates and Examinations</w:t>
    </w:r>
    <w:r w:rsidRPr="00CD5D16">
      <w:rPr>
        <w:lang w:val="en-US"/>
      </w:rPr>
      <w:t xml:space="preserve"> </w:t>
    </w:r>
  </w:p>
  <w:p w14:paraId="72399354" w14:textId="77777777" w:rsidR="00F02DA4" w:rsidRPr="00F25922" w:rsidRDefault="00F02DA4" w:rsidP="00F25922">
    <w:pPr>
      <w:pStyle w:val="REG-P0"/>
      <w:pBdr>
        <w:bottom w:val="single" w:sz="24" w:space="1" w:color="BFBFBF" w:themeColor="accent5" w:themeTint="66"/>
      </w:pBdr>
      <w:rPr>
        <w:strike/>
        <w:sz w:val="12"/>
        <w:szCs w:val="16"/>
      </w:rPr>
    </w:pPr>
  </w:p>
  <w:p w14:paraId="51A8F2B2" w14:textId="77777777" w:rsidR="00F02DA4" w:rsidRDefault="00F02D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693E6B1F" w:rsidR="00F02DA4" w:rsidRPr="00BA6B35" w:rsidRDefault="00F02DA4"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236EB5BA">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7DE38A7"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10355"/>
    <w:multiLevelType w:val="hybridMultilevel"/>
    <w:tmpl w:val="23D29022"/>
    <w:lvl w:ilvl="0" w:tplc="D716E38C">
      <w:start w:val="1"/>
      <w:numFmt w:val="lowerLetter"/>
      <w:lvlText w:val="(%1)"/>
      <w:lvlJc w:val="left"/>
      <w:pPr>
        <w:ind w:left="1840" w:hanging="721"/>
        <w:jc w:val="right"/>
      </w:pPr>
      <w:rPr>
        <w:rFonts w:ascii="Times New Roman" w:eastAsia="Times New Roman" w:hAnsi="Times New Roman" w:cs="Times New Roman" w:hint="default"/>
        <w:spacing w:val="-20"/>
        <w:w w:val="100"/>
        <w:sz w:val="22"/>
        <w:szCs w:val="22"/>
      </w:rPr>
    </w:lvl>
    <w:lvl w:ilvl="1" w:tplc="145A156A">
      <w:start w:val="1"/>
      <w:numFmt w:val="lowerRoman"/>
      <w:lvlText w:val="(%2)"/>
      <w:lvlJc w:val="left"/>
      <w:pPr>
        <w:ind w:left="2560" w:hanging="721"/>
      </w:pPr>
      <w:rPr>
        <w:rFonts w:ascii="Times New Roman" w:eastAsia="Times New Roman" w:hAnsi="Times New Roman" w:cs="Times New Roman" w:hint="default"/>
        <w:spacing w:val="-1"/>
        <w:w w:val="100"/>
        <w:sz w:val="22"/>
        <w:szCs w:val="22"/>
      </w:rPr>
    </w:lvl>
    <w:lvl w:ilvl="2" w:tplc="CA20C8A6">
      <w:numFmt w:val="bullet"/>
      <w:lvlText w:val="•"/>
      <w:lvlJc w:val="left"/>
      <w:pPr>
        <w:ind w:left="3309" w:hanging="721"/>
      </w:pPr>
      <w:rPr>
        <w:rFonts w:hint="default"/>
      </w:rPr>
    </w:lvl>
    <w:lvl w:ilvl="3" w:tplc="2EACE6BC">
      <w:numFmt w:val="bullet"/>
      <w:lvlText w:val="•"/>
      <w:lvlJc w:val="left"/>
      <w:pPr>
        <w:ind w:left="4059" w:hanging="721"/>
      </w:pPr>
      <w:rPr>
        <w:rFonts w:hint="default"/>
      </w:rPr>
    </w:lvl>
    <w:lvl w:ilvl="4" w:tplc="6464BECC">
      <w:numFmt w:val="bullet"/>
      <w:lvlText w:val="•"/>
      <w:lvlJc w:val="left"/>
      <w:pPr>
        <w:ind w:left="4808" w:hanging="721"/>
      </w:pPr>
      <w:rPr>
        <w:rFonts w:hint="default"/>
      </w:rPr>
    </w:lvl>
    <w:lvl w:ilvl="5" w:tplc="10C0F6CA">
      <w:numFmt w:val="bullet"/>
      <w:lvlText w:val="•"/>
      <w:lvlJc w:val="left"/>
      <w:pPr>
        <w:ind w:left="5558" w:hanging="721"/>
      </w:pPr>
      <w:rPr>
        <w:rFonts w:hint="default"/>
      </w:rPr>
    </w:lvl>
    <w:lvl w:ilvl="6" w:tplc="4A3C7644">
      <w:numFmt w:val="bullet"/>
      <w:lvlText w:val="•"/>
      <w:lvlJc w:val="left"/>
      <w:pPr>
        <w:ind w:left="6307" w:hanging="721"/>
      </w:pPr>
      <w:rPr>
        <w:rFonts w:hint="default"/>
      </w:rPr>
    </w:lvl>
    <w:lvl w:ilvl="7" w:tplc="7EC4B40A">
      <w:numFmt w:val="bullet"/>
      <w:lvlText w:val="•"/>
      <w:lvlJc w:val="left"/>
      <w:pPr>
        <w:ind w:left="7057" w:hanging="721"/>
      </w:pPr>
      <w:rPr>
        <w:rFonts w:hint="default"/>
      </w:rPr>
    </w:lvl>
    <w:lvl w:ilvl="8" w:tplc="6CC64F20">
      <w:numFmt w:val="bullet"/>
      <w:lvlText w:val="•"/>
      <w:lvlJc w:val="left"/>
      <w:pPr>
        <w:ind w:left="7806" w:hanging="721"/>
      </w:pPr>
      <w:rPr>
        <w:rFonts w:hint="default"/>
      </w:rPr>
    </w:lvl>
  </w:abstractNum>
  <w:abstractNum w:abstractNumId="2" w15:restartNumberingAfterBreak="0">
    <w:nsid w:val="055A72B3"/>
    <w:multiLevelType w:val="hybridMultilevel"/>
    <w:tmpl w:val="056098C0"/>
    <w:lvl w:ilvl="0" w:tplc="6F966258">
      <w:start w:val="1"/>
      <w:numFmt w:val="lowerLetter"/>
      <w:lvlText w:val="(%1)"/>
      <w:lvlJc w:val="left"/>
      <w:pPr>
        <w:ind w:left="1558" w:hanging="721"/>
      </w:pPr>
      <w:rPr>
        <w:rFonts w:ascii="Times New Roman" w:eastAsia="Times New Roman" w:hAnsi="Times New Roman" w:cs="Times New Roman" w:hint="default"/>
        <w:spacing w:val="-1"/>
        <w:w w:val="98"/>
        <w:sz w:val="22"/>
        <w:szCs w:val="22"/>
      </w:rPr>
    </w:lvl>
    <w:lvl w:ilvl="1" w:tplc="388A56CE">
      <w:numFmt w:val="bullet"/>
      <w:lvlText w:val="•"/>
      <w:lvlJc w:val="left"/>
      <w:pPr>
        <w:ind w:left="2334" w:hanging="721"/>
      </w:pPr>
      <w:rPr>
        <w:rFonts w:hint="default"/>
      </w:rPr>
    </w:lvl>
    <w:lvl w:ilvl="2" w:tplc="7AE65DEC">
      <w:numFmt w:val="bullet"/>
      <w:lvlText w:val="•"/>
      <w:lvlJc w:val="left"/>
      <w:pPr>
        <w:ind w:left="3109" w:hanging="721"/>
      </w:pPr>
      <w:rPr>
        <w:rFonts w:hint="default"/>
      </w:rPr>
    </w:lvl>
    <w:lvl w:ilvl="3" w:tplc="98625A36">
      <w:numFmt w:val="bullet"/>
      <w:lvlText w:val="•"/>
      <w:lvlJc w:val="left"/>
      <w:pPr>
        <w:ind w:left="3883" w:hanging="721"/>
      </w:pPr>
      <w:rPr>
        <w:rFonts w:hint="default"/>
      </w:rPr>
    </w:lvl>
    <w:lvl w:ilvl="4" w:tplc="5CF470A2">
      <w:numFmt w:val="bullet"/>
      <w:lvlText w:val="•"/>
      <w:lvlJc w:val="left"/>
      <w:pPr>
        <w:ind w:left="4658" w:hanging="721"/>
      </w:pPr>
      <w:rPr>
        <w:rFonts w:hint="default"/>
      </w:rPr>
    </w:lvl>
    <w:lvl w:ilvl="5" w:tplc="4EE62186">
      <w:numFmt w:val="bullet"/>
      <w:lvlText w:val="•"/>
      <w:lvlJc w:val="left"/>
      <w:pPr>
        <w:ind w:left="5432" w:hanging="721"/>
      </w:pPr>
      <w:rPr>
        <w:rFonts w:hint="default"/>
      </w:rPr>
    </w:lvl>
    <w:lvl w:ilvl="6" w:tplc="6D781080">
      <w:numFmt w:val="bullet"/>
      <w:lvlText w:val="•"/>
      <w:lvlJc w:val="left"/>
      <w:pPr>
        <w:ind w:left="6207" w:hanging="721"/>
      </w:pPr>
      <w:rPr>
        <w:rFonts w:hint="default"/>
      </w:rPr>
    </w:lvl>
    <w:lvl w:ilvl="7" w:tplc="61F2130C">
      <w:numFmt w:val="bullet"/>
      <w:lvlText w:val="•"/>
      <w:lvlJc w:val="left"/>
      <w:pPr>
        <w:ind w:left="6981" w:hanging="721"/>
      </w:pPr>
      <w:rPr>
        <w:rFonts w:hint="default"/>
      </w:rPr>
    </w:lvl>
    <w:lvl w:ilvl="8" w:tplc="058412B6">
      <w:numFmt w:val="bullet"/>
      <w:lvlText w:val="•"/>
      <w:lvlJc w:val="left"/>
      <w:pPr>
        <w:ind w:left="7756" w:hanging="721"/>
      </w:pPr>
      <w:rPr>
        <w:rFonts w:hint="default"/>
      </w:rPr>
    </w:lvl>
  </w:abstractNum>
  <w:abstractNum w:abstractNumId="3" w15:restartNumberingAfterBreak="0">
    <w:nsid w:val="073B126D"/>
    <w:multiLevelType w:val="hybridMultilevel"/>
    <w:tmpl w:val="3CB66A64"/>
    <w:lvl w:ilvl="0" w:tplc="E5FA3D68">
      <w:start w:val="1"/>
      <w:numFmt w:val="lowerLetter"/>
      <w:lvlText w:val="(%1)"/>
      <w:lvlJc w:val="left"/>
      <w:pPr>
        <w:ind w:left="1841" w:hanging="721"/>
      </w:pPr>
      <w:rPr>
        <w:rFonts w:ascii="Times New Roman" w:eastAsia="Times New Roman" w:hAnsi="Times New Roman" w:cs="Times New Roman" w:hint="default"/>
        <w:spacing w:val="-1"/>
        <w:w w:val="100"/>
        <w:sz w:val="22"/>
        <w:szCs w:val="22"/>
      </w:rPr>
    </w:lvl>
    <w:lvl w:ilvl="1" w:tplc="478C2CF8">
      <w:numFmt w:val="bullet"/>
      <w:lvlText w:val="•"/>
      <w:lvlJc w:val="left"/>
      <w:pPr>
        <w:ind w:left="2586" w:hanging="721"/>
      </w:pPr>
      <w:rPr>
        <w:rFonts w:hint="default"/>
      </w:rPr>
    </w:lvl>
    <w:lvl w:ilvl="2" w:tplc="6FACA65A">
      <w:numFmt w:val="bullet"/>
      <w:lvlText w:val="•"/>
      <w:lvlJc w:val="left"/>
      <w:pPr>
        <w:ind w:left="3333" w:hanging="721"/>
      </w:pPr>
      <w:rPr>
        <w:rFonts w:hint="default"/>
      </w:rPr>
    </w:lvl>
    <w:lvl w:ilvl="3" w:tplc="4DDEB4F6">
      <w:numFmt w:val="bullet"/>
      <w:lvlText w:val="•"/>
      <w:lvlJc w:val="left"/>
      <w:pPr>
        <w:ind w:left="4079" w:hanging="721"/>
      </w:pPr>
      <w:rPr>
        <w:rFonts w:hint="default"/>
      </w:rPr>
    </w:lvl>
    <w:lvl w:ilvl="4" w:tplc="D3AE528C">
      <w:numFmt w:val="bullet"/>
      <w:lvlText w:val="•"/>
      <w:lvlJc w:val="left"/>
      <w:pPr>
        <w:ind w:left="4826" w:hanging="721"/>
      </w:pPr>
      <w:rPr>
        <w:rFonts w:hint="default"/>
      </w:rPr>
    </w:lvl>
    <w:lvl w:ilvl="5" w:tplc="5956CA60">
      <w:numFmt w:val="bullet"/>
      <w:lvlText w:val="•"/>
      <w:lvlJc w:val="left"/>
      <w:pPr>
        <w:ind w:left="5572" w:hanging="721"/>
      </w:pPr>
      <w:rPr>
        <w:rFonts w:hint="default"/>
      </w:rPr>
    </w:lvl>
    <w:lvl w:ilvl="6" w:tplc="4928F37E">
      <w:numFmt w:val="bullet"/>
      <w:lvlText w:val="•"/>
      <w:lvlJc w:val="left"/>
      <w:pPr>
        <w:ind w:left="6319" w:hanging="721"/>
      </w:pPr>
      <w:rPr>
        <w:rFonts w:hint="default"/>
      </w:rPr>
    </w:lvl>
    <w:lvl w:ilvl="7" w:tplc="D3F277EE">
      <w:numFmt w:val="bullet"/>
      <w:lvlText w:val="•"/>
      <w:lvlJc w:val="left"/>
      <w:pPr>
        <w:ind w:left="7065" w:hanging="721"/>
      </w:pPr>
      <w:rPr>
        <w:rFonts w:hint="default"/>
      </w:rPr>
    </w:lvl>
    <w:lvl w:ilvl="8" w:tplc="4AFCF65A">
      <w:numFmt w:val="bullet"/>
      <w:lvlText w:val="•"/>
      <w:lvlJc w:val="left"/>
      <w:pPr>
        <w:ind w:left="7812" w:hanging="721"/>
      </w:pPr>
      <w:rPr>
        <w:rFonts w:hint="default"/>
      </w:rPr>
    </w:lvl>
  </w:abstractNum>
  <w:abstractNum w:abstractNumId="4" w15:restartNumberingAfterBreak="0">
    <w:nsid w:val="0B6E32CE"/>
    <w:multiLevelType w:val="hybridMultilevel"/>
    <w:tmpl w:val="A4FE49F2"/>
    <w:lvl w:ilvl="0" w:tplc="1DD868C4">
      <w:start w:val="1"/>
      <w:numFmt w:val="lowerLetter"/>
      <w:lvlText w:val="(%1)"/>
      <w:lvlJc w:val="left"/>
      <w:pPr>
        <w:ind w:left="1558" w:hanging="721"/>
      </w:pPr>
      <w:rPr>
        <w:rFonts w:ascii="Times New Roman" w:eastAsia="Times New Roman" w:hAnsi="Times New Roman" w:cs="Times New Roman" w:hint="default"/>
        <w:spacing w:val="-20"/>
        <w:w w:val="100"/>
        <w:sz w:val="22"/>
        <w:szCs w:val="22"/>
      </w:rPr>
    </w:lvl>
    <w:lvl w:ilvl="1" w:tplc="984651AA">
      <w:start w:val="2"/>
      <w:numFmt w:val="lowerLetter"/>
      <w:lvlText w:val="(%2)"/>
      <w:lvlJc w:val="left"/>
      <w:pPr>
        <w:ind w:left="1840" w:hanging="721"/>
      </w:pPr>
      <w:rPr>
        <w:rFonts w:ascii="Times New Roman" w:eastAsia="Times New Roman" w:hAnsi="Times New Roman" w:cs="Times New Roman" w:hint="default"/>
        <w:spacing w:val="-22"/>
        <w:w w:val="100"/>
        <w:sz w:val="22"/>
        <w:szCs w:val="22"/>
      </w:rPr>
    </w:lvl>
    <w:lvl w:ilvl="2" w:tplc="60307A48">
      <w:numFmt w:val="bullet"/>
      <w:lvlText w:val="•"/>
      <w:lvlJc w:val="left"/>
      <w:pPr>
        <w:ind w:left="2669" w:hanging="721"/>
      </w:pPr>
      <w:rPr>
        <w:rFonts w:hint="default"/>
      </w:rPr>
    </w:lvl>
    <w:lvl w:ilvl="3" w:tplc="9C920478">
      <w:numFmt w:val="bullet"/>
      <w:lvlText w:val="•"/>
      <w:lvlJc w:val="left"/>
      <w:pPr>
        <w:ind w:left="3499" w:hanging="721"/>
      </w:pPr>
      <w:rPr>
        <w:rFonts w:hint="default"/>
      </w:rPr>
    </w:lvl>
    <w:lvl w:ilvl="4" w:tplc="C09A68C4">
      <w:numFmt w:val="bullet"/>
      <w:lvlText w:val="•"/>
      <w:lvlJc w:val="left"/>
      <w:pPr>
        <w:ind w:left="4328" w:hanging="721"/>
      </w:pPr>
      <w:rPr>
        <w:rFonts w:hint="default"/>
      </w:rPr>
    </w:lvl>
    <w:lvl w:ilvl="5" w:tplc="991421E2">
      <w:numFmt w:val="bullet"/>
      <w:lvlText w:val="•"/>
      <w:lvlJc w:val="left"/>
      <w:pPr>
        <w:ind w:left="5158" w:hanging="721"/>
      </w:pPr>
      <w:rPr>
        <w:rFonts w:hint="default"/>
      </w:rPr>
    </w:lvl>
    <w:lvl w:ilvl="6" w:tplc="620E280E">
      <w:numFmt w:val="bullet"/>
      <w:lvlText w:val="•"/>
      <w:lvlJc w:val="left"/>
      <w:pPr>
        <w:ind w:left="5987" w:hanging="721"/>
      </w:pPr>
      <w:rPr>
        <w:rFonts w:hint="default"/>
      </w:rPr>
    </w:lvl>
    <w:lvl w:ilvl="7" w:tplc="06FC6730">
      <w:numFmt w:val="bullet"/>
      <w:lvlText w:val="•"/>
      <w:lvlJc w:val="left"/>
      <w:pPr>
        <w:ind w:left="6817" w:hanging="721"/>
      </w:pPr>
      <w:rPr>
        <w:rFonts w:hint="default"/>
      </w:rPr>
    </w:lvl>
    <w:lvl w:ilvl="8" w:tplc="22A44398">
      <w:numFmt w:val="bullet"/>
      <w:lvlText w:val="•"/>
      <w:lvlJc w:val="left"/>
      <w:pPr>
        <w:ind w:left="7646" w:hanging="721"/>
      </w:pPr>
      <w:rPr>
        <w:rFonts w:hint="default"/>
      </w:rPr>
    </w:lvl>
  </w:abstractNum>
  <w:abstractNum w:abstractNumId="5" w15:restartNumberingAfterBreak="0">
    <w:nsid w:val="0E4C35D7"/>
    <w:multiLevelType w:val="hybridMultilevel"/>
    <w:tmpl w:val="71E61A16"/>
    <w:lvl w:ilvl="0" w:tplc="FDF8E14E">
      <w:start w:val="1"/>
      <w:numFmt w:val="lowerLetter"/>
      <w:lvlText w:val="(%1)"/>
      <w:lvlJc w:val="left"/>
      <w:pPr>
        <w:ind w:left="1842" w:hanging="721"/>
        <w:jc w:val="right"/>
      </w:pPr>
      <w:rPr>
        <w:rFonts w:ascii="Times New Roman" w:eastAsia="Times New Roman" w:hAnsi="Times New Roman" w:cs="Times New Roman" w:hint="default"/>
        <w:spacing w:val="-20"/>
        <w:w w:val="100"/>
        <w:sz w:val="22"/>
        <w:szCs w:val="22"/>
      </w:rPr>
    </w:lvl>
    <w:lvl w:ilvl="1" w:tplc="05DC3080">
      <w:numFmt w:val="bullet"/>
      <w:lvlText w:val="•"/>
      <w:lvlJc w:val="left"/>
      <w:pPr>
        <w:ind w:left="2586" w:hanging="721"/>
      </w:pPr>
      <w:rPr>
        <w:rFonts w:hint="default"/>
      </w:rPr>
    </w:lvl>
    <w:lvl w:ilvl="2" w:tplc="1A80EE8A">
      <w:numFmt w:val="bullet"/>
      <w:lvlText w:val="•"/>
      <w:lvlJc w:val="left"/>
      <w:pPr>
        <w:ind w:left="3333" w:hanging="721"/>
      </w:pPr>
      <w:rPr>
        <w:rFonts w:hint="default"/>
      </w:rPr>
    </w:lvl>
    <w:lvl w:ilvl="3" w:tplc="BEA8CB42">
      <w:numFmt w:val="bullet"/>
      <w:lvlText w:val="•"/>
      <w:lvlJc w:val="left"/>
      <w:pPr>
        <w:ind w:left="4079" w:hanging="721"/>
      </w:pPr>
      <w:rPr>
        <w:rFonts w:hint="default"/>
      </w:rPr>
    </w:lvl>
    <w:lvl w:ilvl="4" w:tplc="22E0441E">
      <w:numFmt w:val="bullet"/>
      <w:lvlText w:val="•"/>
      <w:lvlJc w:val="left"/>
      <w:pPr>
        <w:ind w:left="4826" w:hanging="721"/>
      </w:pPr>
      <w:rPr>
        <w:rFonts w:hint="default"/>
      </w:rPr>
    </w:lvl>
    <w:lvl w:ilvl="5" w:tplc="9F38B04A">
      <w:numFmt w:val="bullet"/>
      <w:lvlText w:val="•"/>
      <w:lvlJc w:val="left"/>
      <w:pPr>
        <w:ind w:left="5572" w:hanging="721"/>
      </w:pPr>
      <w:rPr>
        <w:rFonts w:hint="default"/>
      </w:rPr>
    </w:lvl>
    <w:lvl w:ilvl="6" w:tplc="73F6478A">
      <w:numFmt w:val="bullet"/>
      <w:lvlText w:val="•"/>
      <w:lvlJc w:val="left"/>
      <w:pPr>
        <w:ind w:left="6319" w:hanging="721"/>
      </w:pPr>
      <w:rPr>
        <w:rFonts w:hint="default"/>
      </w:rPr>
    </w:lvl>
    <w:lvl w:ilvl="7" w:tplc="D226A1A8">
      <w:numFmt w:val="bullet"/>
      <w:lvlText w:val="•"/>
      <w:lvlJc w:val="left"/>
      <w:pPr>
        <w:ind w:left="7065" w:hanging="721"/>
      </w:pPr>
      <w:rPr>
        <w:rFonts w:hint="default"/>
      </w:rPr>
    </w:lvl>
    <w:lvl w:ilvl="8" w:tplc="5346F81C">
      <w:numFmt w:val="bullet"/>
      <w:lvlText w:val="•"/>
      <w:lvlJc w:val="left"/>
      <w:pPr>
        <w:ind w:left="7812" w:hanging="721"/>
      </w:pPr>
      <w:rPr>
        <w:rFonts w:hint="default"/>
      </w:rPr>
    </w:lvl>
  </w:abstractNum>
  <w:abstractNum w:abstractNumId="6" w15:restartNumberingAfterBreak="0">
    <w:nsid w:val="146C3977"/>
    <w:multiLevelType w:val="hybridMultilevel"/>
    <w:tmpl w:val="E8EC44A0"/>
    <w:lvl w:ilvl="0" w:tplc="AC967668">
      <w:start w:val="1"/>
      <w:numFmt w:val="decimal"/>
      <w:lvlText w:val="%1."/>
      <w:lvlJc w:val="left"/>
      <w:pPr>
        <w:ind w:left="439" w:hanging="360"/>
      </w:pPr>
      <w:rPr>
        <w:rFonts w:hint="default"/>
      </w:rPr>
    </w:lvl>
    <w:lvl w:ilvl="1" w:tplc="20000019" w:tentative="1">
      <w:start w:val="1"/>
      <w:numFmt w:val="lowerLetter"/>
      <w:lvlText w:val="%2."/>
      <w:lvlJc w:val="left"/>
      <w:pPr>
        <w:ind w:left="1159" w:hanging="360"/>
      </w:pPr>
    </w:lvl>
    <w:lvl w:ilvl="2" w:tplc="2000001B" w:tentative="1">
      <w:start w:val="1"/>
      <w:numFmt w:val="lowerRoman"/>
      <w:lvlText w:val="%3."/>
      <w:lvlJc w:val="right"/>
      <w:pPr>
        <w:ind w:left="1879" w:hanging="180"/>
      </w:pPr>
    </w:lvl>
    <w:lvl w:ilvl="3" w:tplc="2000000F" w:tentative="1">
      <w:start w:val="1"/>
      <w:numFmt w:val="decimal"/>
      <w:lvlText w:val="%4."/>
      <w:lvlJc w:val="left"/>
      <w:pPr>
        <w:ind w:left="2599" w:hanging="360"/>
      </w:pPr>
    </w:lvl>
    <w:lvl w:ilvl="4" w:tplc="20000019" w:tentative="1">
      <w:start w:val="1"/>
      <w:numFmt w:val="lowerLetter"/>
      <w:lvlText w:val="%5."/>
      <w:lvlJc w:val="left"/>
      <w:pPr>
        <w:ind w:left="3319" w:hanging="360"/>
      </w:pPr>
    </w:lvl>
    <w:lvl w:ilvl="5" w:tplc="2000001B" w:tentative="1">
      <w:start w:val="1"/>
      <w:numFmt w:val="lowerRoman"/>
      <w:lvlText w:val="%6."/>
      <w:lvlJc w:val="right"/>
      <w:pPr>
        <w:ind w:left="4039" w:hanging="180"/>
      </w:pPr>
    </w:lvl>
    <w:lvl w:ilvl="6" w:tplc="2000000F" w:tentative="1">
      <w:start w:val="1"/>
      <w:numFmt w:val="decimal"/>
      <w:lvlText w:val="%7."/>
      <w:lvlJc w:val="left"/>
      <w:pPr>
        <w:ind w:left="4759" w:hanging="360"/>
      </w:pPr>
    </w:lvl>
    <w:lvl w:ilvl="7" w:tplc="20000019" w:tentative="1">
      <w:start w:val="1"/>
      <w:numFmt w:val="lowerLetter"/>
      <w:lvlText w:val="%8."/>
      <w:lvlJc w:val="left"/>
      <w:pPr>
        <w:ind w:left="5479" w:hanging="360"/>
      </w:pPr>
    </w:lvl>
    <w:lvl w:ilvl="8" w:tplc="2000001B" w:tentative="1">
      <w:start w:val="1"/>
      <w:numFmt w:val="lowerRoman"/>
      <w:lvlText w:val="%9."/>
      <w:lvlJc w:val="right"/>
      <w:pPr>
        <w:ind w:left="6199" w:hanging="180"/>
      </w:pPr>
    </w:lvl>
  </w:abstractNum>
  <w:abstractNum w:abstractNumId="7" w15:restartNumberingAfterBreak="0">
    <w:nsid w:val="178B618F"/>
    <w:multiLevelType w:val="hybridMultilevel"/>
    <w:tmpl w:val="D32E1BD0"/>
    <w:lvl w:ilvl="0" w:tplc="8DFA5AD0">
      <w:start w:val="1"/>
      <w:numFmt w:val="lowerRoman"/>
      <w:lvlText w:val="(%1)"/>
      <w:lvlJc w:val="left"/>
      <w:pPr>
        <w:ind w:left="800" w:hanging="360"/>
      </w:pPr>
      <w:rPr>
        <w:rFonts w:ascii="Times New Roman" w:eastAsia="Times New Roman" w:hAnsi="Times New Roman" w:cs="Times New Roman" w:hint="default"/>
        <w:spacing w:val="-21"/>
        <w:w w:val="100"/>
        <w:sz w:val="20"/>
        <w:szCs w:val="2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17F9671D"/>
    <w:multiLevelType w:val="hybridMultilevel"/>
    <w:tmpl w:val="24C04B4C"/>
    <w:lvl w:ilvl="0" w:tplc="8DFA5AD0">
      <w:start w:val="1"/>
      <w:numFmt w:val="lowerRoman"/>
      <w:lvlText w:val="(%1)"/>
      <w:lvlJc w:val="left"/>
      <w:pPr>
        <w:ind w:left="800" w:hanging="360"/>
      </w:pPr>
      <w:rPr>
        <w:rFonts w:ascii="Times New Roman" w:eastAsia="Times New Roman" w:hAnsi="Times New Roman" w:cs="Times New Roman" w:hint="default"/>
        <w:spacing w:val="-21"/>
        <w:w w:val="100"/>
        <w:sz w:val="20"/>
        <w:szCs w:val="20"/>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14E65D4"/>
    <w:multiLevelType w:val="hybridMultilevel"/>
    <w:tmpl w:val="9C0ABB64"/>
    <w:lvl w:ilvl="0" w:tplc="8DFA5AD0">
      <w:start w:val="1"/>
      <w:numFmt w:val="lowerRoman"/>
      <w:lvlText w:val="(%1)"/>
      <w:lvlJc w:val="left"/>
      <w:pPr>
        <w:ind w:left="397" w:hanging="318"/>
      </w:pPr>
      <w:rPr>
        <w:rFonts w:ascii="Times New Roman" w:eastAsia="Times New Roman" w:hAnsi="Times New Roman" w:cs="Times New Roman" w:hint="default"/>
        <w:spacing w:val="-21"/>
        <w:w w:val="100"/>
        <w:sz w:val="20"/>
        <w:szCs w:val="20"/>
      </w:rPr>
    </w:lvl>
    <w:lvl w:ilvl="1" w:tplc="60B6B568">
      <w:numFmt w:val="bullet"/>
      <w:lvlText w:val="•"/>
      <w:lvlJc w:val="left"/>
      <w:pPr>
        <w:ind w:left="797" w:hanging="318"/>
      </w:pPr>
      <w:rPr>
        <w:rFonts w:hint="default"/>
      </w:rPr>
    </w:lvl>
    <w:lvl w:ilvl="2" w:tplc="06EA8A9A">
      <w:numFmt w:val="bullet"/>
      <w:lvlText w:val="•"/>
      <w:lvlJc w:val="left"/>
      <w:pPr>
        <w:ind w:left="1194" w:hanging="318"/>
      </w:pPr>
      <w:rPr>
        <w:rFonts w:hint="default"/>
      </w:rPr>
    </w:lvl>
    <w:lvl w:ilvl="3" w:tplc="98BAC23E">
      <w:numFmt w:val="bullet"/>
      <w:lvlText w:val="•"/>
      <w:lvlJc w:val="left"/>
      <w:pPr>
        <w:ind w:left="1592" w:hanging="318"/>
      </w:pPr>
      <w:rPr>
        <w:rFonts w:hint="default"/>
      </w:rPr>
    </w:lvl>
    <w:lvl w:ilvl="4" w:tplc="5C4E893C">
      <w:numFmt w:val="bullet"/>
      <w:lvlText w:val="•"/>
      <w:lvlJc w:val="left"/>
      <w:pPr>
        <w:ind w:left="1989" w:hanging="318"/>
      </w:pPr>
      <w:rPr>
        <w:rFonts w:hint="default"/>
      </w:rPr>
    </w:lvl>
    <w:lvl w:ilvl="5" w:tplc="599C3334">
      <w:numFmt w:val="bullet"/>
      <w:lvlText w:val="•"/>
      <w:lvlJc w:val="left"/>
      <w:pPr>
        <w:ind w:left="2387" w:hanging="318"/>
      </w:pPr>
      <w:rPr>
        <w:rFonts w:hint="default"/>
      </w:rPr>
    </w:lvl>
    <w:lvl w:ilvl="6" w:tplc="BA9EC7E0">
      <w:numFmt w:val="bullet"/>
      <w:lvlText w:val="•"/>
      <w:lvlJc w:val="left"/>
      <w:pPr>
        <w:ind w:left="2784" w:hanging="318"/>
      </w:pPr>
      <w:rPr>
        <w:rFonts w:hint="default"/>
      </w:rPr>
    </w:lvl>
    <w:lvl w:ilvl="7" w:tplc="50A06260">
      <w:numFmt w:val="bullet"/>
      <w:lvlText w:val="•"/>
      <w:lvlJc w:val="left"/>
      <w:pPr>
        <w:ind w:left="3181" w:hanging="318"/>
      </w:pPr>
      <w:rPr>
        <w:rFonts w:hint="default"/>
      </w:rPr>
    </w:lvl>
    <w:lvl w:ilvl="8" w:tplc="707E0398">
      <w:numFmt w:val="bullet"/>
      <w:lvlText w:val="•"/>
      <w:lvlJc w:val="left"/>
      <w:pPr>
        <w:ind w:left="3579" w:hanging="318"/>
      </w:pPr>
      <w:rPr>
        <w:rFonts w:hint="default"/>
      </w:rPr>
    </w:lvl>
  </w:abstractNum>
  <w:abstractNum w:abstractNumId="12" w15:restartNumberingAfterBreak="0">
    <w:nsid w:val="215B627C"/>
    <w:multiLevelType w:val="hybridMultilevel"/>
    <w:tmpl w:val="FFA4FF6E"/>
    <w:lvl w:ilvl="0" w:tplc="A7609D60">
      <w:start w:val="1"/>
      <w:numFmt w:val="decimal"/>
      <w:lvlText w:val="%1."/>
      <w:lvlJc w:val="left"/>
      <w:pPr>
        <w:ind w:left="117" w:hanging="720"/>
        <w:jc w:val="right"/>
      </w:pPr>
      <w:rPr>
        <w:rFonts w:ascii="Times New Roman" w:eastAsia="Times New Roman" w:hAnsi="Times New Roman" w:cs="Times New Roman" w:hint="default"/>
        <w:b/>
        <w:bCs/>
        <w:spacing w:val="-1"/>
        <w:w w:val="100"/>
        <w:sz w:val="22"/>
        <w:szCs w:val="22"/>
      </w:rPr>
    </w:lvl>
    <w:lvl w:ilvl="1" w:tplc="163A2CC6">
      <w:numFmt w:val="bullet"/>
      <w:lvlText w:val="•"/>
      <w:lvlJc w:val="left"/>
      <w:pPr>
        <w:ind w:left="400" w:hanging="720"/>
      </w:pPr>
      <w:rPr>
        <w:rFonts w:hint="default"/>
      </w:rPr>
    </w:lvl>
    <w:lvl w:ilvl="2" w:tplc="F654A2FE">
      <w:numFmt w:val="bullet"/>
      <w:lvlText w:val="•"/>
      <w:lvlJc w:val="left"/>
      <w:pPr>
        <w:ind w:left="1389" w:hanging="720"/>
      </w:pPr>
      <w:rPr>
        <w:rFonts w:hint="default"/>
      </w:rPr>
    </w:lvl>
    <w:lvl w:ilvl="3" w:tplc="6810A63E">
      <w:numFmt w:val="bullet"/>
      <w:lvlText w:val="•"/>
      <w:lvlJc w:val="left"/>
      <w:pPr>
        <w:ind w:left="2379" w:hanging="720"/>
      </w:pPr>
      <w:rPr>
        <w:rFonts w:hint="default"/>
      </w:rPr>
    </w:lvl>
    <w:lvl w:ilvl="4" w:tplc="12BAC674">
      <w:numFmt w:val="bullet"/>
      <w:lvlText w:val="•"/>
      <w:lvlJc w:val="left"/>
      <w:pPr>
        <w:ind w:left="3368" w:hanging="720"/>
      </w:pPr>
      <w:rPr>
        <w:rFonts w:hint="default"/>
      </w:rPr>
    </w:lvl>
    <w:lvl w:ilvl="5" w:tplc="F87C35C8">
      <w:numFmt w:val="bullet"/>
      <w:lvlText w:val="•"/>
      <w:lvlJc w:val="left"/>
      <w:pPr>
        <w:ind w:left="4358" w:hanging="720"/>
      </w:pPr>
      <w:rPr>
        <w:rFonts w:hint="default"/>
      </w:rPr>
    </w:lvl>
    <w:lvl w:ilvl="6" w:tplc="97FC4644">
      <w:numFmt w:val="bullet"/>
      <w:lvlText w:val="•"/>
      <w:lvlJc w:val="left"/>
      <w:pPr>
        <w:ind w:left="5347" w:hanging="720"/>
      </w:pPr>
      <w:rPr>
        <w:rFonts w:hint="default"/>
      </w:rPr>
    </w:lvl>
    <w:lvl w:ilvl="7" w:tplc="F40650F0">
      <w:numFmt w:val="bullet"/>
      <w:lvlText w:val="•"/>
      <w:lvlJc w:val="left"/>
      <w:pPr>
        <w:ind w:left="6337" w:hanging="720"/>
      </w:pPr>
      <w:rPr>
        <w:rFonts w:hint="default"/>
      </w:rPr>
    </w:lvl>
    <w:lvl w:ilvl="8" w:tplc="660EAD14">
      <w:numFmt w:val="bullet"/>
      <w:lvlText w:val="•"/>
      <w:lvlJc w:val="left"/>
      <w:pPr>
        <w:ind w:left="7326" w:hanging="720"/>
      </w:pPr>
      <w:rPr>
        <w:rFonts w:hint="default"/>
      </w:rPr>
    </w:lvl>
  </w:abstractNum>
  <w:abstractNum w:abstractNumId="13" w15:restartNumberingAfterBreak="0">
    <w:nsid w:val="27867B8F"/>
    <w:multiLevelType w:val="hybridMultilevel"/>
    <w:tmpl w:val="C61E226A"/>
    <w:lvl w:ilvl="0" w:tplc="BD6A41E8">
      <w:start w:val="2"/>
      <w:numFmt w:val="decimal"/>
      <w:lvlText w:val="(%1)"/>
      <w:lvlJc w:val="left"/>
      <w:pPr>
        <w:ind w:left="117" w:hanging="721"/>
      </w:pPr>
      <w:rPr>
        <w:rFonts w:ascii="Times New Roman" w:eastAsia="Times New Roman" w:hAnsi="Times New Roman" w:cs="Times New Roman" w:hint="default"/>
        <w:spacing w:val="-20"/>
        <w:w w:val="100"/>
        <w:sz w:val="22"/>
        <w:szCs w:val="22"/>
      </w:rPr>
    </w:lvl>
    <w:lvl w:ilvl="1" w:tplc="DFFEB768">
      <w:numFmt w:val="bullet"/>
      <w:lvlText w:val="•"/>
      <w:lvlJc w:val="left"/>
      <w:pPr>
        <w:ind w:left="1038" w:hanging="721"/>
      </w:pPr>
      <w:rPr>
        <w:rFonts w:hint="default"/>
      </w:rPr>
    </w:lvl>
    <w:lvl w:ilvl="2" w:tplc="9C32C224">
      <w:numFmt w:val="bullet"/>
      <w:lvlText w:val="•"/>
      <w:lvlJc w:val="left"/>
      <w:pPr>
        <w:ind w:left="1957" w:hanging="721"/>
      </w:pPr>
      <w:rPr>
        <w:rFonts w:hint="default"/>
      </w:rPr>
    </w:lvl>
    <w:lvl w:ilvl="3" w:tplc="8B7CAE6C">
      <w:numFmt w:val="bullet"/>
      <w:lvlText w:val="•"/>
      <w:lvlJc w:val="left"/>
      <w:pPr>
        <w:ind w:left="2875" w:hanging="721"/>
      </w:pPr>
      <w:rPr>
        <w:rFonts w:hint="default"/>
      </w:rPr>
    </w:lvl>
    <w:lvl w:ilvl="4" w:tplc="03AC393E">
      <w:numFmt w:val="bullet"/>
      <w:lvlText w:val="•"/>
      <w:lvlJc w:val="left"/>
      <w:pPr>
        <w:ind w:left="3794" w:hanging="721"/>
      </w:pPr>
      <w:rPr>
        <w:rFonts w:hint="default"/>
      </w:rPr>
    </w:lvl>
    <w:lvl w:ilvl="5" w:tplc="63866112">
      <w:numFmt w:val="bullet"/>
      <w:lvlText w:val="•"/>
      <w:lvlJc w:val="left"/>
      <w:pPr>
        <w:ind w:left="4712" w:hanging="721"/>
      </w:pPr>
      <w:rPr>
        <w:rFonts w:hint="default"/>
      </w:rPr>
    </w:lvl>
    <w:lvl w:ilvl="6" w:tplc="7460F500">
      <w:numFmt w:val="bullet"/>
      <w:lvlText w:val="•"/>
      <w:lvlJc w:val="left"/>
      <w:pPr>
        <w:ind w:left="5631" w:hanging="721"/>
      </w:pPr>
      <w:rPr>
        <w:rFonts w:hint="default"/>
      </w:rPr>
    </w:lvl>
    <w:lvl w:ilvl="7" w:tplc="C89A6360">
      <w:numFmt w:val="bullet"/>
      <w:lvlText w:val="•"/>
      <w:lvlJc w:val="left"/>
      <w:pPr>
        <w:ind w:left="6549" w:hanging="721"/>
      </w:pPr>
      <w:rPr>
        <w:rFonts w:hint="default"/>
      </w:rPr>
    </w:lvl>
    <w:lvl w:ilvl="8" w:tplc="DCD0C81E">
      <w:numFmt w:val="bullet"/>
      <w:lvlText w:val="•"/>
      <w:lvlJc w:val="left"/>
      <w:pPr>
        <w:ind w:left="7468" w:hanging="721"/>
      </w:pPr>
      <w:rPr>
        <w:rFonts w:hint="default"/>
      </w:rPr>
    </w:lvl>
  </w:abstractNum>
  <w:abstractNum w:abstractNumId="14" w15:restartNumberingAfterBreak="0">
    <w:nsid w:val="282B233B"/>
    <w:multiLevelType w:val="hybridMultilevel"/>
    <w:tmpl w:val="81E6E994"/>
    <w:lvl w:ilvl="0" w:tplc="7FAA3A38">
      <w:start w:val="1"/>
      <w:numFmt w:val="lowerRoman"/>
      <w:lvlText w:val="%1)"/>
      <w:lvlJc w:val="left"/>
      <w:pPr>
        <w:ind w:left="396" w:hanging="284"/>
      </w:pPr>
      <w:rPr>
        <w:rFonts w:ascii="Times New Roman" w:eastAsia="Times New Roman" w:hAnsi="Times New Roman" w:cs="Times New Roman" w:hint="default"/>
        <w:spacing w:val="-14"/>
        <w:w w:val="97"/>
        <w:sz w:val="20"/>
        <w:szCs w:val="20"/>
      </w:rPr>
    </w:lvl>
    <w:lvl w:ilvl="1" w:tplc="E0722082">
      <w:numFmt w:val="bullet"/>
      <w:lvlText w:val="•"/>
      <w:lvlJc w:val="left"/>
      <w:pPr>
        <w:ind w:left="797" w:hanging="284"/>
      </w:pPr>
      <w:rPr>
        <w:rFonts w:hint="default"/>
      </w:rPr>
    </w:lvl>
    <w:lvl w:ilvl="2" w:tplc="6E925422">
      <w:numFmt w:val="bullet"/>
      <w:lvlText w:val="•"/>
      <w:lvlJc w:val="left"/>
      <w:pPr>
        <w:ind w:left="1194" w:hanging="284"/>
      </w:pPr>
      <w:rPr>
        <w:rFonts w:hint="default"/>
      </w:rPr>
    </w:lvl>
    <w:lvl w:ilvl="3" w:tplc="14D6CEF8">
      <w:numFmt w:val="bullet"/>
      <w:lvlText w:val="•"/>
      <w:lvlJc w:val="left"/>
      <w:pPr>
        <w:ind w:left="1592" w:hanging="284"/>
      </w:pPr>
      <w:rPr>
        <w:rFonts w:hint="default"/>
      </w:rPr>
    </w:lvl>
    <w:lvl w:ilvl="4" w:tplc="9B801036">
      <w:numFmt w:val="bullet"/>
      <w:lvlText w:val="•"/>
      <w:lvlJc w:val="left"/>
      <w:pPr>
        <w:ind w:left="1989" w:hanging="284"/>
      </w:pPr>
      <w:rPr>
        <w:rFonts w:hint="default"/>
      </w:rPr>
    </w:lvl>
    <w:lvl w:ilvl="5" w:tplc="349A564A">
      <w:numFmt w:val="bullet"/>
      <w:lvlText w:val="•"/>
      <w:lvlJc w:val="left"/>
      <w:pPr>
        <w:ind w:left="2387" w:hanging="284"/>
      </w:pPr>
      <w:rPr>
        <w:rFonts w:hint="default"/>
      </w:rPr>
    </w:lvl>
    <w:lvl w:ilvl="6" w:tplc="C5D863DA">
      <w:numFmt w:val="bullet"/>
      <w:lvlText w:val="•"/>
      <w:lvlJc w:val="left"/>
      <w:pPr>
        <w:ind w:left="2784" w:hanging="284"/>
      </w:pPr>
      <w:rPr>
        <w:rFonts w:hint="default"/>
      </w:rPr>
    </w:lvl>
    <w:lvl w:ilvl="7" w:tplc="16AC1D1C">
      <w:numFmt w:val="bullet"/>
      <w:lvlText w:val="•"/>
      <w:lvlJc w:val="left"/>
      <w:pPr>
        <w:ind w:left="3181" w:hanging="284"/>
      </w:pPr>
      <w:rPr>
        <w:rFonts w:hint="default"/>
      </w:rPr>
    </w:lvl>
    <w:lvl w:ilvl="8" w:tplc="16D656B0">
      <w:numFmt w:val="bullet"/>
      <w:lvlText w:val="•"/>
      <w:lvlJc w:val="left"/>
      <w:pPr>
        <w:ind w:left="3579" w:hanging="284"/>
      </w:pPr>
      <w:rPr>
        <w:rFonts w:hint="default"/>
      </w:rPr>
    </w:lvl>
  </w:abstractNum>
  <w:abstractNum w:abstractNumId="15" w15:restartNumberingAfterBreak="0">
    <w:nsid w:val="2DAA0ADF"/>
    <w:multiLevelType w:val="hybridMultilevel"/>
    <w:tmpl w:val="CC6E3524"/>
    <w:lvl w:ilvl="0" w:tplc="784EDC8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F096B"/>
    <w:multiLevelType w:val="hybridMultilevel"/>
    <w:tmpl w:val="E40051BE"/>
    <w:lvl w:ilvl="0" w:tplc="97FE806A">
      <w:start w:val="1"/>
      <w:numFmt w:val="decimal"/>
      <w:lvlText w:val="%1."/>
      <w:lvlJc w:val="left"/>
      <w:pPr>
        <w:ind w:left="720" w:hanging="360"/>
      </w:pPr>
      <w:rPr>
        <w:rFonts w:hint="default"/>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0141C4F"/>
    <w:multiLevelType w:val="hybridMultilevel"/>
    <w:tmpl w:val="2452E60C"/>
    <w:lvl w:ilvl="0" w:tplc="CF8CE68C">
      <w:start w:val="1000"/>
      <w:numFmt w:val="decimal"/>
      <w:lvlText w:val="%1"/>
      <w:lvlJc w:val="left"/>
      <w:pPr>
        <w:ind w:left="1125" w:hanging="42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18" w15:restartNumberingAfterBreak="0">
    <w:nsid w:val="32132E72"/>
    <w:multiLevelType w:val="hybridMultilevel"/>
    <w:tmpl w:val="BC660E70"/>
    <w:lvl w:ilvl="0" w:tplc="F3CED9CA">
      <w:start w:val="1"/>
      <w:numFmt w:val="decimal"/>
      <w:lvlText w:val="%1."/>
      <w:lvlJc w:val="left"/>
      <w:pPr>
        <w:ind w:left="439" w:hanging="360"/>
      </w:pPr>
      <w:rPr>
        <w:rFonts w:hint="default"/>
      </w:rPr>
    </w:lvl>
    <w:lvl w:ilvl="1" w:tplc="20000019" w:tentative="1">
      <w:start w:val="1"/>
      <w:numFmt w:val="lowerLetter"/>
      <w:lvlText w:val="%2."/>
      <w:lvlJc w:val="left"/>
      <w:pPr>
        <w:ind w:left="1159" w:hanging="360"/>
      </w:pPr>
    </w:lvl>
    <w:lvl w:ilvl="2" w:tplc="2000001B" w:tentative="1">
      <w:start w:val="1"/>
      <w:numFmt w:val="lowerRoman"/>
      <w:lvlText w:val="%3."/>
      <w:lvlJc w:val="right"/>
      <w:pPr>
        <w:ind w:left="1879" w:hanging="180"/>
      </w:pPr>
    </w:lvl>
    <w:lvl w:ilvl="3" w:tplc="2000000F" w:tentative="1">
      <w:start w:val="1"/>
      <w:numFmt w:val="decimal"/>
      <w:lvlText w:val="%4."/>
      <w:lvlJc w:val="left"/>
      <w:pPr>
        <w:ind w:left="2599" w:hanging="360"/>
      </w:pPr>
    </w:lvl>
    <w:lvl w:ilvl="4" w:tplc="20000019" w:tentative="1">
      <w:start w:val="1"/>
      <w:numFmt w:val="lowerLetter"/>
      <w:lvlText w:val="%5."/>
      <w:lvlJc w:val="left"/>
      <w:pPr>
        <w:ind w:left="3319" w:hanging="360"/>
      </w:pPr>
    </w:lvl>
    <w:lvl w:ilvl="5" w:tplc="2000001B" w:tentative="1">
      <w:start w:val="1"/>
      <w:numFmt w:val="lowerRoman"/>
      <w:lvlText w:val="%6."/>
      <w:lvlJc w:val="right"/>
      <w:pPr>
        <w:ind w:left="4039" w:hanging="180"/>
      </w:pPr>
    </w:lvl>
    <w:lvl w:ilvl="6" w:tplc="2000000F" w:tentative="1">
      <w:start w:val="1"/>
      <w:numFmt w:val="decimal"/>
      <w:lvlText w:val="%7."/>
      <w:lvlJc w:val="left"/>
      <w:pPr>
        <w:ind w:left="4759" w:hanging="360"/>
      </w:pPr>
    </w:lvl>
    <w:lvl w:ilvl="7" w:tplc="20000019" w:tentative="1">
      <w:start w:val="1"/>
      <w:numFmt w:val="lowerLetter"/>
      <w:lvlText w:val="%8."/>
      <w:lvlJc w:val="left"/>
      <w:pPr>
        <w:ind w:left="5479" w:hanging="360"/>
      </w:pPr>
    </w:lvl>
    <w:lvl w:ilvl="8" w:tplc="2000001B" w:tentative="1">
      <w:start w:val="1"/>
      <w:numFmt w:val="lowerRoman"/>
      <w:lvlText w:val="%9."/>
      <w:lvlJc w:val="right"/>
      <w:pPr>
        <w:ind w:left="6199" w:hanging="180"/>
      </w:pPr>
    </w:lvl>
  </w:abstractNum>
  <w:abstractNum w:abstractNumId="19" w15:restartNumberingAfterBreak="0">
    <w:nsid w:val="32966FDA"/>
    <w:multiLevelType w:val="hybridMultilevel"/>
    <w:tmpl w:val="BF4A27C6"/>
    <w:lvl w:ilvl="0" w:tplc="1902CA3E">
      <w:start w:val="1"/>
      <w:numFmt w:val="lowerLetter"/>
      <w:lvlText w:val="(%1)"/>
      <w:lvlJc w:val="left"/>
      <w:pPr>
        <w:ind w:left="1840" w:hanging="721"/>
      </w:pPr>
      <w:rPr>
        <w:rFonts w:ascii="Times New Roman" w:eastAsia="Times New Roman" w:hAnsi="Times New Roman" w:cs="Times New Roman" w:hint="default"/>
        <w:spacing w:val="-20"/>
        <w:w w:val="98"/>
        <w:sz w:val="22"/>
        <w:szCs w:val="22"/>
      </w:rPr>
    </w:lvl>
    <w:lvl w:ilvl="1" w:tplc="3B127FF2">
      <w:numFmt w:val="bullet"/>
      <w:lvlText w:val="•"/>
      <w:lvlJc w:val="left"/>
      <w:pPr>
        <w:ind w:left="2586" w:hanging="721"/>
      </w:pPr>
      <w:rPr>
        <w:rFonts w:hint="default"/>
      </w:rPr>
    </w:lvl>
    <w:lvl w:ilvl="2" w:tplc="F07C872C">
      <w:numFmt w:val="bullet"/>
      <w:lvlText w:val="•"/>
      <w:lvlJc w:val="left"/>
      <w:pPr>
        <w:ind w:left="3333" w:hanging="721"/>
      </w:pPr>
      <w:rPr>
        <w:rFonts w:hint="default"/>
      </w:rPr>
    </w:lvl>
    <w:lvl w:ilvl="3" w:tplc="29F06152">
      <w:numFmt w:val="bullet"/>
      <w:lvlText w:val="•"/>
      <w:lvlJc w:val="left"/>
      <w:pPr>
        <w:ind w:left="4079" w:hanging="721"/>
      </w:pPr>
      <w:rPr>
        <w:rFonts w:hint="default"/>
      </w:rPr>
    </w:lvl>
    <w:lvl w:ilvl="4" w:tplc="1D826BDE">
      <w:numFmt w:val="bullet"/>
      <w:lvlText w:val="•"/>
      <w:lvlJc w:val="left"/>
      <w:pPr>
        <w:ind w:left="4826" w:hanging="721"/>
      </w:pPr>
      <w:rPr>
        <w:rFonts w:hint="default"/>
      </w:rPr>
    </w:lvl>
    <w:lvl w:ilvl="5" w:tplc="88E0870A">
      <w:numFmt w:val="bullet"/>
      <w:lvlText w:val="•"/>
      <w:lvlJc w:val="left"/>
      <w:pPr>
        <w:ind w:left="5572" w:hanging="721"/>
      </w:pPr>
      <w:rPr>
        <w:rFonts w:hint="default"/>
      </w:rPr>
    </w:lvl>
    <w:lvl w:ilvl="6" w:tplc="F59CFEC8">
      <w:numFmt w:val="bullet"/>
      <w:lvlText w:val="•"/>
      <w:lvlJc w:val="left"/>
      <w:pPr>
        <w:ind w:left="6319" w:hanging="721"/>
      </w:pPr>
      <w:rPr>
        <w:rFonts w:hint="default"/>
      </w:rPr>
    </w:lvl>
    <w:lvl w:ilvl="7" w:tplc="FBB64124">
      <w:numFmt w:val="bullet"/>
      <w:lvlText w:val="•"/>
      <w:lvlJc w:val="left"/>
      <w:pPr>
        <w:ind w:left="7065" w:hanging="721"/>
      </w:pPr>
      <w:rPr>
        <w:rFonts w:hint="default"/>
      </w:rPr>
    </w:lvl>
    <w:lvl w:ilvl="8" w:tplc="7D06E26E">
      <w:numFmt w:val="bullet"/>
      <w:lvlText w:val="•"/>
      <w:lvlJc w:val="left"/>
      <w:pPr>
        <w:ind w:left="7812" w:hanging="721"/>
      </w:pPr>
      <w:rPr>
        <w:rFonts w:hint="default"/>
      </w:rPr>
    </w:lvl>
  </w:abstractNum>
  <w:abstractNum w:abstractNumId="20" w15:restartNumberingAfterBreak="0">
    <w:nsid w:val="3C025D8B"/>
    <w:multiLevelType w:val="hybridMultilevel"/>
    <w:tmpl w:val="AB4AB5C2"/>
    <w:lvl w:ilvl="0" w:tplc="8752D490">
      <w:start w:val="2"/>
      <w:numFmt w:val="decimal"/>
      <w:lvlText w:val="(%1)"/>
      <w:lvlJc w:val="left"/>
      <w:pPr>
        <w:ind w:left="401" w:hanging="721"/>
        <w:jc w:val="right"/>
      </w:pPr>
      <w:rPr>
        <w:rFonts w:ascii="Times New Roman" w:eastAsia="Times New Roman" w:hAnsi="Times New Roman" w:cs="Times New Roman" w:hint="default"/>
        <w:spacing w:val="-9"/>
        <w:w w:val="100"/>
        <w:sz w:val="22"/>
        <w:szCs w:val="22"/>
      </w:rPr>
    </w:lvl>
    <w:lvl w:ilvl="1" w:tplc="3C92096C">
      <w:numFmt w:val="bullet"/>
      <w:lvlText w:val="•"/>
      <w:lvlJc w:val="left"/>
      <w:pPr>
        <w:ind w:left="1290" w:hanging="721"/>
      </w:pPr>
      <w:rPr>
        <w:rFonts w:hint="default"/>
      </w:rPr>
    </w:lvl>
    <w:lvl w:ilvl="2" w:tplc="C4A0A8D6">
      <w:numFmt w:val="bullet"/>
      <w:lvlText w:val="•"/>
      <w:lvlJc w:val="left"/>
      <w:pPr>
        <w:ind w:left="2181" w:hanging="721"/>
      </w:pPr>
      <w:rPr>
        <w:rFonts w:hint="default"/>
      </w:rPr>
    </w:lvl>
    <w:lvl w:ilvl="3" w:tplc="9A44B886">
      <w:numFmt w:val="bullet"/>
      <w:lvlText w:val="•"/>
      <w:lvlJc w:val="left"/>
      <w:pPr>
        <w:ind w:left="3071" w:hanging="721"/>
      </w:pPr>
      <w:rPr>
        <w:rFonts w:hint="default"/>
      </w:rPr>
    </w:lvl>
    <w:lvl w:ilvl="4" w:tplc="82EAE544">
      <w:numFmt w:val="bullet"/>
      <w:lvlText w:val="•"/>
      <w:lvlJc w:val="left"/>
      <w:pPr>
        <w:ind w:left="3962" w:hanging="721"/>
      </w:pPr>
      <w:rPr>
        <w:rFonts w:hint="default"/>
      </w:rPr>
    </w:lvl>
    <w:lvl w:ilvl="5" w:tplc="0052A660">
      <w:numFmt w:val="bullet"/>
      <w:lvlText w:val="•"/>
      <w:lvlJc w:val="left"/>
      <w:pPr>
        <w:ind w:left="4852" w:hanging="721"/>
      </w:pPr>
      <w:rPr>
        <w:rFonts w:hint="default"/>
      </w:rPr>
    </w:lvl>
    <w:lvl w:ilvl="6" w:tplc="5A9C82FA">
      <w:numFmt w:val="bullet"/>
      <w:lvlText w:val="•"/>
      <w:lvlJc w:val="left"/>
      <w:pPr>
        <w:ind w:left="5743" w:hanging="721"/>
      </w:pPr>
      <w:rPr>
        <w:rFonts w:hint="default"/>
      </w:rPr>
    </w:lvl>
    <w:lvl w:ilvl="7" w:tplc="0F6E6164">
      <w:numFmt w:val="bullet"/>
      <w:lvlText w:val="•"/>
      <w:lvlJc w:val="left"/>
      <w:pPr>
        <w:ind w:left="6633" w:hanging="721"/>
      </w:pPr>
      <w:rPr>
        <w:rFonts w:hint="default"/>
      </w:rPr>
    </w:lvl>
    <w:lvl w:ilvl="8" w:tplc="D69A8716">
      <w:numFmt w:val="bullet"/>
      <w:lvlText w:val="•"/>
      <w:lvlJc w:val="left"/>
      <w:pPr>
        <w:ind w:left="7524" w:hanging="721"/>
      </w:pPr>
      <w:rPr>
        <w:rFonts w:hint="default"/>
      </w:rPr>
    </w:lvl>
  </w:abstractNum>
  <w:abstractNum w:abstractNumId="2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DE95189"/>
    <w:multiLevelType w:val="hybridMultilevel"/>
    <w:tmpl w:val="8C0AC360"/>
    <w:lvl w:ilvl="0" w:tplc="C16010B0">
      <w:start w:val="2"/>
      <w:numFmt w:val="decimal"/>
      <w:lvlText w:val="(%1)"/>
      <w:lvlJc w:val="left"/>
      <w:pPr>
        <w:ind w:left="118" w:hanging="721"/>
        <w:jc w:val="right"/>
      </w:pPr>
      <w:rPr>
        <w:rFonts w:ascii="Times New Roman" w:eastAsia="Times New Roman" w:hAnsi="Times New Roman" w:cs="Times New Roman" w:hint="default"/>
        <w:spacing w:val="-26"/>
        <w:w w:val="97"/>
        <w:sz w:val="22"/>
        <w:szCs w:val="22"/>
      </w:rPr>
    </w:lvl>
    <w:lvl w:ilvl="1" w:tplc="AD263C26">
      <w:numFmt w:val="bullet"/>
      <w:lvlText w:val="•"/>
      <w:lvlJc w:val="left"/>
      <w:pPr>
        <w:ind w:left="1038" w:hanging="721"/>
      </w:pPr>
      <w:rPr>
        <w:rFonts w:hint="default"/>
      </w:rPr>
    </w:lvl>
    <w:lvl w:ilvl="2" w:tplc="06D8C618">
      <w:numFmt w:val="bullet"/>
      <w:lvlText w:val="•"/>
      <w:lvlJc w:val="left"/>
      <w:pPr>
        <w:ind w:left="1957" w:hanging="721"/>
      </w:pPr>
      <w:rPr>
        <w:rFonts w:hint="default"/>
      </w:rPr>
    </w:lvl>
    <w:lvl w:ilvl="3" w:tplc="25B61014">
      <w:numFmt w:val="bullet"/>
      <w:lvlText w:val="•"/>
      <w:lvlJc w:val="left"/>
      <w:pPr>
        <w:ind w:left="2875" w:hanging="721"/>
      </w:pPr>
      <w:rPr>
        <w:rFonts w:hint="default"/>
      </w:rPr>
    </w:lvl>
    <w:lvl w:ilvl="4" w:tplc="216812FC">
      <w:numFmt w:val="bullet"/>
      <w:lvlText w:val="•"/>
      <w:lvlJc w:val="left"/>
      <w:pPr>
        <w:ind w:left="3794" w:hanging="721"/>
      </w:pPr>
      <w:rPr>
        <w:rFonts w:hint="default"/>
      </w:rPr>
    </w:lvl>
    <w:lvl w:ilvl="5" w:tplc="C4C08C80">
      <w:numFmt w:val="bullet"/>
      <w:lvlText w:val="•"/>
      <w:lvlJc w:val="left"/>
      <w:pPr>
        <w:ind w:left="4712" w:hanging="721"/>
      </w:pPr>
      <w:rPr>
        <w:rFonts w:hint="default"/>
      </w:rPr>
    </w:lvl>
    <w:lvl w:ilvl="6" w:tplc="91E460D6">
      <w:numFmt w:val="bullet"/>
      <w:lvlText w:val="•"/>
      <w:lvlJc w:val="left"/>
      <w:pPr>
        <w:ind w:left="5631" w:hanging="721"/>
      </w:pPr>
      <w:rPr>
        <w:rFonts w:hint="default"/>
      </w:rPr>
    </w:lvl>
    <w:lvl w:ilvl="7" w:tplc="62A6E278">
      <w:numFmt w:val="bullet"/>
      <w:lvlText w:val="•"/>
      <w:lvlJc w:val="left"/>
      <w:pPr>
        <w:ind w:left="6549" w:hanging="721"/>
      </w:pPr>
      <w:rPr>
        <w:rFonts w:hint="default"/>
      </w:rPr>
    </w:lvl>
    <w:lvl w:ilvl="8" w:tplc="CBCCCE68">
      <w:numFmt w:val="bullet"/>
      <w:lvlText w:val="•"/>
      <w:lvlJc w:val="left"/>
      <w:pPr>
        <w:ind w:left="7468" w:hanging="721"/>
      </w:pPr>
      <w:rPr>
        <w:rFonts w:hint="default"/>
      </w:rPr>
    </w:lvl>
  </w:abstractNum>
  <w:abstractNum w:abstractNumId="23" w15:restartNumberingAfterBreak="0">
    <w:nsid w:val="3E2D7CB6"/>
    <w:multiLevelType w:val="hybridMultilevel"/>
    <w:tmpl w:val="39283544"/>
    <w:lvl w:ilvl="0" w:tplc="F50444CC">
      <w:start w:val="2"/>
      <w:numFmt w:val="decimal"/>
      <w:lvlText w:val="(%1)"/>
      <w:lvlJc w:val="left"/>
      <w:pPr>
        <w:ind w:left="117" w:hanging="721"/>
        <w:jc w:val="right"/>
      </w:pPr>
      <w:rPr>
        <w:rFonts w:ascii="Times New Roman" w:eastAsia="Times New Roman" w:hAnsi="Times New Roman" w:cs="Times New Roman" w:hint="default"/>
        <w:spacing w:val="-28"/>
        <w:w w:val="95"/>
        <w:sz w:val="22"/>
        <w:szCs w:val="22"/>
      </w:rPr>
    </w:lvl>
    <w:lvl w:ilvl="1" w:tplc="AB184BBA">
      <w:numFmt w:val="bullet"/>
      <w:lvlText w:val="•"/>
      <w:lvlJc w:val="left"/>
      <w:pPr>
        <w:ind w:left="1038" w:hanging="721"/>
      </w:pPr>
      <w:rPr>
        <w:rFonts w:hint="default"/>
      </w:rPr>
    </w:lvl>
    <w:lvl w:ilvl="2" w:tplc="A568198C">
      <w:numFmt w:val="bullet"/>
      <w:lvlText w:val="•"/>
      <w:lvlJc w:val="left"/>
      <w:pPr>
        <w:ind w:left="1957" w:hanging="721"/>
      </w:pPr>
      <w:rPr>
        <w:rFonts w:hint="default"/>
      </w:rPr>
    </w:lvl>
    <w:lvl w:ilvl="3" w:tplc="99C82928">
      <w:numFmt w:val="bullet"/>
      <w:lvlText w:val="•"/>
      <w:lvlJc w:val="left"/>
      <w:pPr>
        <w:ind w:left="2875" w:hanging="721"/>
      </w:pPr>
      <w:rPr>
        <w:rFonts w:hint="default"/>
      </w:rPr>
    </w:lvl>
    <w:lvl w:ilvl="4" w:tplc="5CFEEE28">
      <w:numFmt w:val="bullet"/>
      <w:lvlText w:val="•"/>
      <w:lvlJc w:val="left"/>
      <w:pPr>
        <w:ind w:left="3794" w:hanging="721"/>
      </w:pPr>
      <w:rPr>
        <w:rFonts w:hint="default"/>
      </w:rPr>
    </w:lvl>
    <w:lvl w:ilvl="5" w:tplc="097C263C">
      <w:numFmt w:val="bullet"/>
      <w:lvlText w:val="•"/>
      <w:lvlJc w:val="left"/>
      <w:pPr>
        <w:ind w:left="4712" w:hanging="721"/>
      </w:pPr>
      <w:rPr>
        <w:rFonts w:hint="default"/>
      </w:rPr>
    </w:lvl>
    <w:lvl w:ilvl="6" w:tplc="52FE6894">
      <w:numFmt w:val="bullet"/>
      <w:lvlText w:val="•"/>
      <w:lvlJc w:val="left"/>
      <w:pPr>
        <w:ind w:left="5631" w:hanging="721"/>
      </w:pPr>
      <w:rPr>
        <w:rFonts w:hint="default"/>
      </w:rPr>
    </w:lvl>
    <w:lvl w:ilvl="7" w:tplc="85CC4772">
      <w:numFmt w:val="bullet"/>
      <w:lvlText w:val="•"/>
      <w:lvlJc w:val="left"/>
      <w:pPr>
        <w:ind w:left="6549" w:hanging="721"/>
      </w:pPr>
      <w:rPr>
        <w:rFonts w:hint="default"/>
      </w:rPr>
    </w:lvl>
    <w:lvl w:ilvl="8" w:tplc="51408ED4">
      <w:numFmt w:val="bullet"/>
      <w:lvlText w:val="•"/>
      <w:lvlJc w:val="left"/>
      <w:pPr>
        <w:ind w:left="7468" w:hanging="721"/>
      </w:pPr>
      <w:rPr>
        <w:rFonts w:hint="default"/>
      </w:rPr>
    </w:lvl>
  </w:abstractNum>
  <w:abstractNum w:abstractNumId="24" w15:restartNumberingAfterBreak="0">
    <w:nsid w:val="437B1A27"/>
    <w:multiLevelType w:val="hybridMultilevel"/>
    <w:tmpl w:val="E2AA1976"/>
    <w:lvl w:ilvl="0" w:tplc="47806F1E">
      <w:start w:val="1"/>
      <w:numFmt w:val="lowerLetter"/>
      <w:lvlText w:val="(%1)"/>
      <w:lvlJc w:val="left"/>
      <w:pPr>
        <w:ind w:left="1841" w:hanging="721"/>
      </w:pPr>
      <w:rPr>
        <w:rFonts w:ascii="Times New Roman" w:eastAsia="Times New Roman" w:hAnsi="Times New Roman" w:cs="Times New Roman" w:hint="default"/>
        <w:spacing w:val="-1"/>
        <w:w w:val="100"/>
        <w:sz w:val="22"/>
        <w:szCs w:val="22"/>
      </w:rPr>
    </w:lvl>
    <w:lvl w:ilvl="1" w:tplc="73E6989C">
      <w:numFmt w:val="bullet"/>
      <w:lvlText w:val="•"/>
      <w:lvlJc w:val="left"/>
      <w:pPr>
        <w:ind w:left="2586" w:hanging="721"/>
      </w:pPr>
      <w:rPr>
        <w:rFonts w:hint="default"/>
      </w:rPr>
    </w:lvl>
    <w:lvl w:ilvl="2" w:tplc="0EA8A10C">
      <w:numFmt w:val="bullet"/>
      <w:lvlText w:val="•"/>
      <w:lvlJc w:val="left"/>
      <w:pPr>
        <w:ind w:left="3333" w:hanging="721"/>
      </w:pPr>
      <w:rPr>
        <w:rFonts w:hint="default"/>
      </w:rPr>
    </w:lvl>
    <w:lvl w:ilvl="3" w:tplc="B9161D3C">
      <w:numFmt w:val="bullet"/>
      <w:lvlText w:val="•"/>
      <w:lvlJc w:val="left"/>
      <w:pPr>
        <w:ind w:left="4079" w:hanging="721"/>
      </w:pPr>
      <w:rPr>
        <w:rFonts w:hint="default"/>
      </w:rPr>
    </w:lvl>
    <w:lvl w:ilvl="4" w:tplc="ECBCA490">
      <w:numFmt w:val="bullet"/>
      <w:lvlText w:val="•"/>
      <w:lvlJc w:val="left"/>
      <w:pPr>
        <w:ind w:left="4826" w:hanging="721"/>
      </w:pPr>
      <w:rPr>
        <w:rFonts w:hint="default"/>
      </w:rPr>
    </w:lvl>
    <w:lvl w:ilvl="5" w:tplc="C4162414">
      <w:numFmt w:val="bullet"/>
      <w:lvlText w:val="•"/>
      <w:lvlJc w:val="left"/>
      <w:pPr>
        <w:ind w:left="5572" w:hanging="721"/>
      </w:pPr>
      <w:rPr>
        <w:rFonts w:hint="default"/>
      </w:rPr>
    </w:lvl>
    <w:lvl w:ilvl="6" w:tplc="72746240">
      <w:numFmt w:val="bullet"/>
      <w:lvlText w:val="•"/>
      <w:lvlJc w:val="left"/>
      <w:pPr>
        <w:ind w:left="6319" w:hanging="721"/>
      </w:pPr>
      <w:rPr>
        <w:rFonts w:hint="default"/>
      </w:rPr>
    </w:lvl>
    <w:lvl w:ilvl="7" w:tplc="9C90EC1E">
      <w:numFmt w:val="bullet"/>
      <w:lvlText w:val="•"/>
      <w:lvlJc w:val="left"/>
      <w:pPr>
        <w:ind w:left="7065" w:hanging="721"/>
      </w:pPr>
      <w:rPr>
        <w:rFonts w:hint="default"/>
      </w:rPr>
    </w:lvl>
    <w:lvl w:ilvl="8" w:tplc="CDE43DDE">
      <w:numFmt w:val="bullet"/>
      <w:lvlText w:val="•"/>
      <w:lvlJc w:val="left"/>
      <w:pPr>
        <w:ind w:left="7812" w:hanging="721"/>
      </w:pPr>
      <w:rPr>
        <w:rFonts w:hint="default"/>
      </w:rPr>
    </w:lvl>
  </w:abstractNum>
  <w:abstractNum w:abstractNumId="25" w15:restartNumberingAfterBreak="0">
    <w:nsid w:val="4B077FFD"/>
    <w:multiLevelType w:val="hybridMultilevel"/>
    <w:tmpl w:val="07C4568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E47257F"/>
    <w:multiLevelType w:val="hybridMultilevel"/>
    <w:tmpl w:val="83827772"/>
    <w:lvl w:ilvl="0" w:tplc="F52C3A2A">
      <w:start w:val="1"/>
      <w:numFmt w:val="lowerRoman"/>
      <w:lvlText w:val="(%1)"/>
      <w:lvlJc w:val="left"/>
      <w:pPr>
        <w:ind w:left="398" w:hanging="319"/>
      </w:pPr>
      <w:rPr>
        <w:rFonts w:ascii="Times New Roman" w:eastAsia="Times New Roman" w:hAnsi="Times New Roman" w:cs="Times New Roman" w:hint="default"/>
        <w:spacing w:val="-20"/>
        <w:w w:val="100"/>
        <w:sz w:val="20"/>
        <w:szCs w:val="20"/>
      </w:rPr>
    </w:lvl>
    <w:lvl w:ilvl="1" w:tplc="BFF4A5E0">
      <w:numFmt w:val="bullet"/>
      <w:lvlText w:val="•"/>
      <w:lvlJc w:val="left"/>
      <w:pPr>
        <w:ind w:left="797" w:hanging="319"/>
      </w:pPr>
      <w:rPr>
        <w:rFonts w:hint="default"/>
      </w:rPr>
    </w:lvl>
    <w:lvl w:ilvl="2" w:tplc="F8D81BD4">
      <w:numFmt w:val="bullet"/>
      <w:lvlText w:val="•"/>
      <w:lvlJc w:val="left"/>
      <w:pPr>
        <w:ind w:left="1194" w:hanging="319"/>
      </w:pPr>
      <w:rPr>
        <w:rFonts w:hint="default"/>
      </w:rPr>
    </w:lvl>
    <w:lvl w:ilvl="3" w:tplc="E79E3BD0">
      <w:numFmt w:val="bullet"/>
      <w:lvlText w:val="•"/>
      <w:lvlJc w:val="left"/>
      <w:pPr>
        <w:ind w:left="1592" w:hanging="319"/>
      </w:pPr>
      <w:rPr>
        <w:rFonts w:hint="default"/>
      </w:rPr>
    </w:lvl>
    <w:lvl w:ilvl="4" w:tplc="E7540C1E">
      <w:numFmt w:val="bullet"/>
      <w:lvlText w:val="•"/>
      <w:lvlJc w:val="left"/>
      <w:pPr>
        <w:ind w:left="1989" w:hanging="319"/>
      </w:pPr>
      <w:rPr>
        <w:rFonts w:hint="default"/>
      </w:rPr>
    </w:lvl>
    <w:lvl w:ilvl="5" w:tplc="522CCA70">
      <w:numFmt w:val="bullet"/>
      <w:lvlText w:val="•"/>
      <w:lvlJc w:val="left"/>
      <w:pPr>
        <w:ind w:left="2387" w:hanging="319"/>
      </w:pPr>
      <w:rPr>
        <w:rFonts w:hint="default"/>
      </w:rPr>
    </w:lvl>
    <w:lvl w:ilvl="6" w:tplc="BEEE3970">
      <w:numFmt w:val="bullet"/>
      <w:lvlText w:val="•"/>
      <w:lvlJc w:val="left"/>
      <w:pPr>
        <w:ind w:left="2784" w:hanging="319"/>
      </w:pPr>
      <w:rPr>
        <w:rFonts w:hint="default"/>
      </w:rPr>
    </w:lvl>
    <w:lvl w:ilvl="7" w:tplc="C7580C54">
      <w:numFmt w:val="bullet"/>
      <w:lvlText w:val="•"/>
      <w:lvlJc w:val="left"/>
      <w:pPr>
        <w:ind w:left="3181" w:hanging="319"/>
      </w:pPr>
      <w:rPr>
        <w:rFonts w:hint="default"/>
      </w:rPr>
    </w:lvl>
    <w:lvl w:ilvl="8" w:tplc="6D2CA7DC">
      <w:numFmt w:val="bullet"/>
      <w:lvlText w:val="•"/>
      <w:lvlJc w:val="left"/>
      <w:pPr>
        <w:ind w:left="3579" w:hanging="319"/>
      </w:pPr>
      <w:rPr>
        <w:rFonts w:hint="default"/>
      </w:rPr>
    </w:lvl>
  </w:abstractNum>
  <w:abstractNum w:abstractNumId="28" w15:restartNumberingAfterBreak="0">
    <w:nsid w:val="611A5D8F"/>
    <w:multiLevelType w:val="hybridMultilevel"/>
    <w:tmpl w:val="E746EB9E"/>
    <w:lvl w:ilvl="0" w:tplc="A8C2C6E4">
      <w:start w:val="1"/>
      <w:numFmt w:val="lowerLetter"/>
      <w:lvlText w:val="(%1)"/>
      <w:lvlJc w:val="left"/>
      <w:pPr>
        <w:ind w:left="1557" w:hanging="721"/>
      </w:pPr>
      <w:rPr>
        <w:rFonts w:ascii="Times New Roman" w:eastAsia="Times New Roman" w:hAnsi="Times New Roman" w:cs="Times New Roman" w:hint="default"/>
        <w:spacing w:val="-1"/>
        <w:w w:val="97"/>
        <w:sz w:val="22"/>
        <w:szCs w:val="22"/>
      </w:rPr>
    </w:lvl>
    <w:lvl w:ilvl="1" w:tplc="93E4F510">
      <w:numFmt w:val="bullet"/>
      <w:lvlText w:val="•"/>
      <w:lvlJc w:val="left"/>
      <w:pPr>
        <w:ind w:left="2334" w:hanging="721"/>
      </w:pPr>
      <w:rPr>
        <w:rFonts w:hint="default"/>
      </w:rPr>
    </w:lvl>
    <w:lvl w:ilvl="2" w:tplc="2BBEA094">
      <w:numFmt w:val="bullet"/>
      <w:lvlText w:val="•"/>
      <w:lvlJc w:val="left"/>
      <w:pPr>
        <w:ind w:left="3109" w:hanging="721"/>
      </w:pPr>
      <w:rPr>
        <w:rFonts w:hint="default"/>
      </w:rPr>
    </w:lvl>
    <w:lvl w:ilvl="3" w:tplc="F5E8663C">
      <w:numFmt w:val="bullet"/>
      <w:lvlText w:val="•"/>
      <w:lvlJc w:val="left"/>
      <w:pPr>
        <w:ind w:left="3883" w:hanging="721"/>
      </w:pPr>
      <w:rPr>
        <w:rFonts w:hint="default"/>
      </w:rPr>
    </w:lvl>
    <w:lvl w:ilvl="4" w:tplc="8D1E263E">
      <w:numFmt w:val="bullet"/>
      <w:lvlText w:val="•"/>
      <w:lvlJc w:val="left"/>
      <w:pPr>
        <w:ind w:left="4658" w:hanging="721"/>
      </w:pPr>
      <w:rPr>
        <w:rFonts w:hint="default"/>
      </w:rPr>
    </w:lvl>
    <w:lvl w:ilvl="5" w:tplc="5F18AC1E">
      <w:numFmt w:val="bullet"/>
      <w:lvlText w:val="•"/>
      <w:lvlJc w:val="left"/>
      <w:pPr>
        <w:ind w:left="5432" w:hanging="721"/>
      </w:pPr>
      <w:rPr>
        <w:rFonts w:hint="default"/>
      </w:rPr>
    </w:lvl>
    <w:lvl w:ilvl="6" w:tplc="656E89C4">
      <w:numFmt w:val="bullet"/>
      <w:lvlText w:val="•"/>
      <w:lvlJc w:val="left"/>
      <w:pPr>
        <w:ind w:left="6207" w:hanging="721"/>
      </w:pPr>
      <w:rPr>
        <w:rFonts w:hint="default"/>
      </w:rPr>
    </w:lvl>
    <w:lvl w:ilvl="7" w:tplc="9A8EDFD0">
      <w:numFmt w:val="bullet"/>
      <w:lvlText w:val="•"/>
      <w:lvlJc w:val="left"/>
      <w:pPr>
        <w:ind w:left="6981" w:hanging="721"/>
      </w:pPr>
      <w:rPr>
        <w:rFonts w:hint="default"/>
      </w:rPr>
    </w:lvl>
    <w:lvl w:ilvl="8" w:tplc="D81E85AC">
      <w:numFmt w:val="bullet"/>
      <w:lvlText w:val="•"/>
      <w:lvlJc w:val="left"/>
      <w:pPr>
        <w:ind w:left="7756" w:hanging="721"/>
      </w:pPr>
      <w:rPr>
        <w:rFonts w:hint="default"/>
      </w:rPr>
    </w:lvl>
  </w:abstractNum>
  <w:abstractNum w:abstractNumId="29" w15:restartNumberingAfterBreak="0">
    <w:nsid w:val="794D4277"/>
    <w:multiLevelType w:val="hybridMultilevel"/>
    <w:tmpl w:val="30988EF8"/>
    <w:lvl w:ilvl="0" w:tplc="269C7AC8">
      <w:start w:val="1"/>
      <w:numFmt w:val="lowerRoman"/>
      <w:lvlText w:val="(%1)"/>
      <w:lvlJc w:val="left"/>
      <w:pPr>
        <w:ind w:left="398" w:hanging="319"/>
      </w:pPr>
      <w:rPr>
        <w:rFonts w:ascii="Times New Roman" w:eastAsia="Times New Roman" w:hAnsi="Times New Roman" w:cs="Times New Roman" w:hint="default"/>
        <w:spacing w:val="-20"/>
        <w:w w:val="100"/>
        <w:sz w:val="20"/>
        <w:szCs w:val="20"/>
      </w:rPr>
    </w:lvl>
    <w:lvl w:ilvl="1" w:tplc="C3DC6C8C">
      <w:numFmt w:val="bullet"/>
      <w:lvlText w:val="•"/>
      <w:lvlJc w:val="left"/>
      <w:pPr>
        <w:ind w:left="797" w:hanging="319"/>
      </w:pPr>
      <w:rPr>
        <w:rFonts w:hint="default"/>
      </w:rPr>
    </w:lvl>
    <w:lvl w:ilvl="2" w:tplc="C9CC3F2C">
      <w:numFmt w:val="bullet"/>
      <w:lvlText w:val="•"/>
      <w:lvlJc w:val="left"/>
      <w:pPr>
        <w:ind w:left="1194" w:hanging="319"/>
      </w:pPr>
      <w:rPr>
        <w:rFonts w:hint="default"/>
      </w:rPr>
    </w:lvl>
    <w:lvl w:ilvl="3" w:tplc="C7DCBCAC">
      <w:numFmt w:val="bullet"/>
      <w:lvlText w:val="•"/>
      <w:lvlJc w:val="left"/>
      <w:pPr>
        <w:ind w:left="1592" w:hanging="319"/>
      </w:pPr>
      <w:rPr>
        <w:rFonts w:hint="default"/>
      </w:rPr>
    </w:lvl>
    <w:lvl w:ilvl="4" w:tplc="8714AEB8">
      <w:numFmt w:val="bullet"/>
      <w:lvlText w:val="•"/>
      <w:lvlJc w:val="left"/>
      <w:pPr>
        <w:ind w:left="1989" w:hanging="319"/>
      </w:pPr>
      <w:rPr>
        <w:rFonts w:hint="default"/>
      </w:rPr>
    </w:lvl>
    <w:lvl w:ilvl="5" w:tplc="7D0CDC04">
      <w:numFmt w:val="bullet"/>
      <w:lvlText w:val="•"/>
      <w:lvlJc w:val="left"/>
      <w:pPr>
        <w:ind w:left="2387" w:hanging="319"/>
      </w:pPr>
      <w:rPr>
        <w:rFonts w:hint="default"/>
      </w:rPr>
    </w:lvl>
    <w:lvl w:ilvl="6" w:tplc="1E8C6B12">
      <w:numFmt w:val="bullet"/>
      <w:lvlText w:val="•"/>
      <w:lvlJc w:val="left"/>
      <w:pPr>
        <w:ind w:left="2784" w:hanging="319"/>
      </w:pPr>
      <w:rPr>
        <w:rFonts w:hint="default"/>
      </w:rPr>
    </w:lvl>
    <w:lvl w:ilvl="7" w:tplc="0B7C054E">
      <w:numFmt w:val="bullet"/>
      <w:lvlText w:val="•"/>
      <w:lvlJc w:val="left"/>
      <w:pPr>
        <w:ind w:left="3181" w:hanging="319"/>
      </w:pPr>
      <w:rPr>
        <w:rFonts w:hint="default"/>
      </w:rPr>
    </w:lvl>
    <w:lvl w:ilvl="8" w:tplc="C0287586">
      <w:numFmt w:val="bullet"/>
      <w:lvlText w:val="•"/>
      <w:lvlJc w:val="left"/>
      <w:pPr>
        <w:ind w:left="3579" w:hanging="319"/>
      </w:pPr>
      <w:rPr>
        <w:rFonts w:hint="default"/>
      </w:rPr>
    </w:lvl>
  </w:abstractNum>
  <w:abstractNum w:abstractNumId="30" w15:restartNumberingAfterBreak="0">
    <w:nsid w:val="7BB46C2A"/>
    <w:multiLevelType w:val="hybridMultilevel"/>
    <w:tmpl w:val="9FA061A6"/>
    <w:lvl w:ilvl="0" w:tplc="7A822ADE">
      <w:start w:val="2"/>
      <w:numFmt w:val="decimal"/>
      <w:lvlText w:val="(%1)"/>
      <w:lvlJc w:val="left"/>
      <w:pPr>
        <w:ind w:left="401" w:hanging="721"/>
      </w:pPr>
      <w:rPr>
        <w:rFonts w:ascii="Times New Roman" w:eastAsia="Times New Roman" w:hAnsi="Times New Roman" w:cs="Times New Roman" w:hint="default"/>
        <w:spacing w:val="-13"/>
        <w:w w:val="98"/>
        <w:sz w:val="22"/>
        <w:szCs w:val="22"/>
      </w:rPr>
    </w:lvl>
    <w:lvl w:ilvl="1" w:tplc="F5A6A310">
      <w:numFmt w:val="bullet"/>
      <w:lvlText w:val="•"/>
      <w:lvlJc w:val="left"/>
      <w:pPr>
        <w:ind w:left="1290" w:hanging="721"/>
      </w:pPr>
      <w:rPr>
        <w:rFonts w:hint="default"/>
      </w:rPr>
    </w:lvl>
    <w:lvl w:ilvl="2" w:tplc="40069712">
      <w:numFmt w:val="bullet"/>
      <w:lvlText w:val="•"/>
      <w:lvlJc w:val="left"/>
      <w:pPr>
        <w:ind w:left="2181" w:hanging="721"/>
      </w:pPr>
      <w:rPr>
        <w:rFonts w:hint="default"/>
      </w:rPr>
    </w:lvl>
    <w:lvl w:ilvl="3" w:tplc="1368CC18">
      <w:numFmt w:val="bullet"/>
      <w:lvlText w:val="•"/>
      <w:lvlJc w:val="left"/>
      <w:pPr>
        <w:ind w:left="3071" w:hanging="721"/>
      </w:pPr>
      <w:rPr>
        <w:rFonts w:hint="default"/>
      </w:rPr>
    </w:lvl>
    <w:lvl w:ilvl="4" w:tplc="54F48924">
      <w:numFmt w:val="bullet"/>
      <w:lvlText w:val="•"/>
      <w:lvlJc w:val="left"/>
      <w:pPr>
        <w:ind w:left="3962" w:hanging="721"/>
      </w:pPr>
      <w:rPr>
        <w:rFonts w:hint="default"/>
      </w:rPr>
    </w:lvl>
    <w:lvl w:ilvl="5" w:tplc="B1B4E64C">
      <w:numFmt w:val="bullet"/>
      <w:lvlText w:val="•"/>
      <w:lvlJc w:val="left"/>
      <w:pPr>
        <w:ind w:left="4852" w:hanging="721"/>
      </w:pPr>
      <w:rPr>
        <w:rFonts w:hint="default"/>
      </w:rPr>
    </w:lvl>
    <w:lvl w:ilvl="6" w:tplc="ABC6698C">
      <w:numFmt w:val="bullet"/>
      <w:lvlText w:val="•"/>
      <w:lvlJc w:val="left"/>
      <w:pPr>
        <w:ind w:left="5743" w:hanging="721"/>
      </w:pPr>
      <w:rPr>
        <w:rFonts w:hint="default"/>
      </w:rPr>
    </w:lvl>
    <w:lvl w:ilvl="7" w:tplc="A5868540">
      <w:numFmt w:val="bullet"/>
      <w:lvlText w:val="•"/>
      <w:lvlJc w:val="left"/>
      <w:pPr>
        <w:ind w:left="6633" w:hanging="721"/>
      </w:pPr>
      <w:rPr>
        <w:rFonts w:hint="default"/>
      </w:rPr>
    </w:lvl>
    <w:lvl w:ilvl="8" w:tplc="4874F28C">
      <w:numFmt w:val="bullet"/>
      <w:lvlText w:val="•"/>
      <w:lvlJc w:val="left"/>
      <w:pPr>
        <w:ind w:left="7524" w:hanging="721"/>
      </w:pPr>
      <w:rPr>
        <w:rFonts w:hint="default"/>
      </w:rPr>
    </w:lvl>
  </w:abstractNum>
  <w:abstractNum w:abstractNumId="31" w15:restartNumberingAfterBreak="0">
    <w:nsid w:val="7C3B2536"/>
    <w:multiLevelType w:val="hybridMultilevel"/>
    <w:tmpl w:val="32B6B7C0"/>
    <w:lvl w:ilvl="0" w:tplc="D3D2DCA0">
      <w:start w:val="1"/>
      <w:numFmt w:val="lowerRoman"/>
      <w:lvlText w:val="(%1)"/>
      <w:lvlJc w:val="left"/>
      <w:pPr>
        <w:ind w:left="527" w:hanging="447"/>
      </w:pPr>
      <w:rPr>
        <w:rFonts w:ascii="Times New Roman" w:eastAsia="Times New Roman" w:hAnsi="Times New Roman" w:cs="Times New Roman" w:hint="default"/>
        <w:spacing w:val="0"/>
        <w:w w:val="100"/>
        <w:sz w:val="20"/>
        <w:szCs w:val="20"/>
      </w:rPr>
    </w:lvl>
    <w:lvl w:ilvl="1" w:tplc="59B28D44">
      <w:start w:val="1"/>
      <w:numFmt w:val="lowerLetter"/>
      <w:lvlText w:val="%2."/>
      <w:lvlJc w:val="left"/>
      <w:pPr>
        <w:ind w:left="811" w:hanging="284"/>
      </w:pPr>
      <w:rPr>
        <w:rFonts w:ascii="Times New Roman" w:eastAsia="Times New Roman" w:hAnsi="Times New Roman" w:cs="Times New Roman" w:hint="default"/>
        <w:spacing w:val="-5"/>
        <w:w w:val="100"/>
        <w:sz w:val="20"/>
        <w:szCs w:val="20"/>
      </w:rPr>
    </w:lvl>
    <w:lvl w:ilvl="2" w:tplc="D0EC644A">
      <w:numFmt w:val="bullet"/>
      <w:lvlText w:val="•"/>
      <w:lvlJc w:val="left"/>
      <w:pPr>
        <w:ind w:left="1214" w:hanging="284"/>
      </w:pPr>
      <w:rPr>
        <w:rFonts w:hint="default"/>
      </w:rPr>
    </w:lvl>
    <w:lvl w:ilvl="3" w:tplc="CD805298">
      <w:numFmt w:val="bullet"/>
      <w:lvlText w:val="•"/>
      <w:lvlJc w:val="left"/>
      <w:pPr>
        <w:ind w:left="1609" w:hanging="284"/>
      </w:pPr>
      <w:rPr>
        <w:rFonts w:hint="default"/>
      </w:rPr>
    </w:lvl>
    <w:lvl w:ilvl="4" w:tplc="019AD8AA">
      <w:numFmt w:val="bullet"/>
      <w:lvlText w:val="•"/>
      <w:lvlJc w:val="left"/>
      <w:pPr>
        <w:ind w:left="2004" w:hanging="284"/>
      </w:pPr>
      <w:rPr>
        <w:rFonts w:hint="default"/>
      </w:rPr>
    </w:lvl>
    <w:lvl w:ilvl="5" w:tplc="B3987B16">
      <w:numFmt w:val="bullet"/>
      <w:lvlText w:val="•"/>
      <w:lvlJc w:val="left"/>
      <w:pPr>
        <w:ind w:left="2399" w:hanging="284"/>
      </w:pPr>
      <w:rPr>
        <w:rFonts w:hint="default"/>
      </w:rPr>
    </w:lvl>
    <w:lvl w:ilvl="6" w:tplc="71181C70">
      <w:numFmt w:val="bullet"/>
      <w:lvlText w:val="•"/>
      <w:lvlJc w:val="left"/>
      <w:pPr>
        <w:ind w:left="2794" w:hanging="284"/>
      </w:pPr>
      <w:rPr>
        <w:rFonts w:hint="default"/>
      </w:rPr>
    </w:lvl>
    <w:lvl w:ilvl="7" w:tplc="5F00F12E">
      <w:numFmt w:val="bullet"/>
      <w:lvlText w:val="•"/>
      <w:lvlJc w:val="left"/>
      <w:pPr>
        <w:ind w:left="3189" w:hanging="284"/>
      </w:pPr>
      <w:rPr>
        <w:rFonts w:hint="default"/>
      </w:rPr>
    </w:lvl>
    <w:lvl w:ilvl="8" w:tplc="000290FA">
      <w:numFmt w:val="bullet"/>
      <w:lvlText w:val="•"/>
      <w:lvlJc w:val="left"/>
      <w:pPr>
        <w:ind w:left="3584" w:hanging="284"/>
      </w:pPr>
      <w:rPr>
        <w:rFonts w:hint="default"/>
      </w:rPr>
    </w:lvl>
  </w:abstractNum>
  <w:abstractNum w:abstractNumId="32" w15:restartNumberingAfterBreak="0">
    <w:nsid w:val="7DF61714"/>
    <w:multiLevelType w:val="hybridMultilevel"/>
    <w:tmpl w:val="40347F92"/>
    <w:lvl w:ilvl="0" w:tplc="A3E07C0A">
      <w:start w:val="1"/>
      <w:numFmt w:val="lowerLetter"/>
      <w:lvlText w:val="(%1)"/>
      <w:lvlJc w:val="left"/>
      <w:pPr>
        <w:ind w:left="1557" w:hanging="721"/>
      </w:pPr>
      <w:rPr>
        <w:rFonts w:ascii="Times New Roman" w:eastAsia="Times New Roman" w:hAnsi="Times New Roman" w:cs="Times New Roman" w:hint="default"/>
        <w:spacing w:val="-20"/>
        <w:w w:val="98"/>
        <w:sz w:val="22"/>
        <w:szCs w:val="22"/>
      </w:rPr>
    </w:lvl>
    <w:lvl w:ilvl="1" w:tplc="0822465E">
      <w:numFmt w:val="bullet"/>
      <w:lvlText w:val="•"/>
      <w:lvlJc w:val="left"/>
      <w:pPr>
        <w:ind w:left="2334" w:hanging="721"/>
      </w:pPr>
      <w:rPr>
        <w:rFonts w:hint="default"/>
      </w:rPr>
    </w:lvl>
    <w:lvl w:ilvl="2" w:tplc="F8766EF4">
      <w:numFmt w:val="bullet"/>
      <w:lvlText w:val="•"/>
      <w:lvlJc w:val="left"/>
      <w:pPr>
        <w:ind w:left="3109" w:hanging="721"/>
      </w:pPr>
      <w:rPr>
        <w:rFonts w:hint="default"/>
      </w:rPr>
    </w:lvl>
    <w:lvl w:ilvl="3" w:tplc="18A6D9CE">
      <w:numFmt w:val="bullet"/>
      <w:lvlText w:val="•"/>
      <w:lvlJc w:val="left"/>
      <w:pPr>
        <w:ind w:left="3883" w:hanging="721"/>
      </w:pPr>
      <w:rPr>
        <w:rFonts w:hint="default"/>
      </w:rPr>
    </w:lvl>
    <w:lvl w:ilvl="4" w:tplc="6FFEE5B4">
      <w:numFmt w:val="bullet"/>
      <w:lvlText w:val="•"/>
      <w:lvlJc w:val="left"/>
      <w:pPr>
        <w:ind w:left="4658" w:hanging="721"/>
      </w:pPr>
      <w:rPr>
        <w:rFonts w:hint="default"/>
      </w:rPr>
    </w:lvl>
    <w:lvl w:ilvl="5" w:tplc="C3A2D32A">
      <w:numFmt w:val="bullet"/>
      <w:lvlText w:val="•"/>
      <w:lvlJc w:val="left"/>
      <w:pPr>
        <w:ind w:left="5432" w:hanging="721"/>
      </w:pPr>
      <w:rPr>
        <w:rFonts w:hint="default"/>
      </w:rPr>
    </w:lvl>
    <w:lvl w:ilvl="6" w:tplc="AE44FA4C">
      <w:numFmt w:val="bullet"/>
      <w:lvlText w:val="•"/>
      <w:lvlJc w:val="left"/>
      <w:pPr>
        <w:ind w:left="6207" w:hanging="721"/>
      </w:pPr>
      <w:rPr>
        <w:rFonts w:hint="default"/>
      </w:rPr>
    </w:lvl>
    <w:lvl w:ilvl="7" w:tplc="E4869E0E">
      <w:numFmt w:val="bullet"/>
      <w:lvlText w:val="•"/>
      <w:lvlJc w:val="left"/>
      <w:pPr>
        <w:ind w:left="6981" w:hanging="721"/>
      </w:pPr>
      <w:rPr>
        <w:rFonts w:hint="default"/>
      </w:rPr>
    </w:lvl>
    <w:lvl w:ilvl="8" w:tplc="1B76E3BC">
      <w:numFmt w:val="bullet"/>
      <w:lvlText w:val="•"/>
      <w:lvlJc w:val="left"/>
      <w:pPr>
        <w:ind w:left="7756" w:hanging="721"/>
      </w:pPr>
      <w:rPr>
        <w:rFonts w:hint="default"/>
      </w:rPr>
    </w:lvl>
  </w:abstractNum>
  <w:num w:numId="1">
    <w:abstractNumId w:val="0"/>
  </w:num>
  <w:num w:numId="2">
    <w:abstractNumId w:val="26"/>
  </w:num>
  <w:num w:numId="3">
    <w:abstractNumId w:val="9"/>
  </w:num>
  <w:num w:numId="4">
    <w:abstractNumId w:val="10"/>
  </w:num>
  <w:num w:numId="5">
    <w:abstractNumId w:val="21"/>
  </w:num>
  <w:num w:numId="6">
    <w:abstractNumId w:val="15"/>
  </w:num>
  <w:num w:numId="7">
    <w:abstractNumId w:val="25"/>
  </w:num>
  <w:num w:numId="8">
    <w:abstractNumId w:val="27"/>
  </w:num>
  <w:num w:numId="9">
    <w:abstractNumId w:val="31"/>
  </w:num>
  <w:num w:numId="10">
    <w:abstractNumId w:val="11"/>
  </w:num>
  <w:num w:numId="11">
    <w:abstractNumId w:val="14"/>
  </w:num>
  <w:num w:numId="12">
    <w:abstractNumId w:val="29"/>
  </w:num>
  <w:num w:numId="13">
    <w:abstractNumId w:val="32"/>
  </w:num>
  <w:num w:numId="14">
    <w:abstractNumId w:val="13"/>
  </w:num>
  <w:num w:numId="15">
    <w:abstractNumId w:val="28"/>
  </w:num>
  <w:num w:numId="16">
    <w:abstractNumId w:val="23"/>
  </w:num>
  <w:num w:numId="17">
    <w:abstractNumId w:val="1"/>
  </w:num>
  <w:num w:numId="18">
    <w:abstractNumId w:val="4"/>
  </w:num>
  <w:num w:numId="19">
    <w:abstractNumId w:val="22"/>
  </w:num>
  <w:num w:numId="20">
    <w:abstractNumId w:val="2"/>
  </w:num>
  <w:num w:numId="21">
    <w:abstractNumId w:val="5"/>
  </w:num>
  <w:num w:numId="22">
    <w:abstractNumId w:val="3"/>
  </w:num>
  <w:num w:numId="23">
    <w:abstractNumId w:val="20"/>
  </w:num>
  <w:num w:numId="24">
    <w:abstractNumId w:val="30"/>
  </w:num>
  <w:num w:numId="25">
    <w:abstractNumId w:val="19"/>
  </w:num>
  <w:num w:numId="26">
    <w:abstractNumId w:val="12"/>
  </w:num>
  <w:num w:numId="27">
    <w:abstractNumId w:val="24"/>
  </w:num>
  <w:num w:numId="28">
    <w:abstractNumId w:val="7"/>
  </w:num>
  <w:num w:numId="29">
    <w:abstractNumId w:val="8"/>
  </w:num>
  <w:num w:numId="30">
    <w:abstractNumId w:val="6"/>
  </w:num>
  <w:num w:numId="31">
    <w:abstractNumId w:val="18"/>
  </w:num>
  <w:num w:numId="32">
    <w:abstractNumId w:val="16"/>
  </w:num>
  <w:num w:numId="3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1MDM3NDAxNDIwMjFS0lEKTi0uzszPAymwqAUAdreAtCwAAAA="/>
  </w:docVars>
  <w:rsids>
    <w:rsidRoot w:val="00B86F3F"/>
    <w:rsid w:val="00000812"/>
    <w:rsid w:val="0000122A"/>
    <w:rsid w:val="00002AE9"/>
    <w:rsid w:val="000031A8"/>
    <w:rsid w:val="00003730"/>
    <w:rsid w:val="00003B24"/>
    <w:rsid w:val="00003B57"/>
    <w:rsid w:val="00003DCF"/>
    <w:rsid w:val="00004F6B"/>
    <w:rsid w:val="000052A2"/>
    <w:rsid w:val="00005680"/>
    <w:rsid w:val="00005EE8"/>
    <w:rsid w:val="00006791"/>
    <w:rsid w:val="000073EE"/>
    <w:rsid w:val="0001088D"/>
    <w:rsid w:val="00010971"/>
    <w:rsid w:val="00010B81"/>
    <w:rsid w:val="0001145E"/>
    <w:rsid w:val="000133A8"/>
    <w:rsid w:val="00013F89"/>
    <w:rsid w:val="00017AAC"/>
    <w:rsid w:val="00023D2F"/>
    <w:rsid w:val="000242FF"/>
    <w:rsid w:val="00024D3E"/>
    <w:rsid w:val="000260FD"/>
    <w:rsid w:val="00030176"/>
    <w:rsid w:val="00030419"/>
    <w:rsid w:val="000329CE"/>
    <w:rsid w:val="00034949"/>
    <w:rsid w:val="00034B64"/>
    <w:rsid w:val="00035CF8"/>
    <w:rsid w:val="000363C6"/>
    <w:rsid w:val="0003721F"/>
    <w:rsid w:val="00040D1D"/>
    <w:rsid w:val="00040F05"/>
    <w:rsid w:val="00041542"/>
    <w:rsid w:val="00041A53"/>
    <w:rsid w:val="000420FF"/>
    <w:rsid w:val="000437B1"/>
    <w:rsid w:val="00044972"/>
    <w:rsid w:val="00044D23"/>
    <w:rsid w:val="00045A94"/>
    <w:rsid w:val="00046475"/>
    <w:rsid w:val="00047EB8"/>
    <w:rsid w:val="000500F4"/>
    <w:rsid w:val="000506E3"/>
    <w:rsid w:val="000518CC"/>
    <w:rsid w:val="000532C3"/>
    <w:rsid w:val="00054F3A"/>
    <w:rsid w:val="00055D23"/>
    <w:rsid w:val="00055D48"/>
    <w:rsid w:val="000608EE"/>
    <w:rsid w:val="000614EF"/>
    <w:rsid w:val="00061E20"/>
    <w:rsid w:val="000622BB"/>
    <w:rsid w:val="0006479F"/>
    <w:rsid w:val="00065A61"/>
    <w:rsid w:val="000668CD"/>
    <w:rsid w:val="00066DEF"/>
    <w:rsid w:val="0007067C"/>
    <w:rsid w:val="000710ED"/>
    <w:rsid w:val="000744EC"/>
    <w:rsid w:val="00074AFC"/>
    <w:rsid w:val="000757E1"/>
    <w:rsid w:val="00075DDD"/>
    <w:rsid w:val="00077C38"/>
    <w:rsid w:val="00077CC8"/>
    <w:rsid w:val="00080C29"/>
    <w:rsid w:val="00080C45"/>
    <w:rsid w:val="000814D8"/>
    <w:rsid w:val="000835C8"/>
    <w:rsid w:val="00084A4D"/>
    <w:rsid w:val="000870E4"/>
    <w:rsid w:val="000877D1"/>
    <w:rsid w:val="000878E9"/>
    <w:rsid w:val="000903F9"/>
    <w:rsid w:val="00097EED"/>
    <w:rsid w:val="000A069B"/>
    <w:rsid w:val="000A2439"/>
    <w:rsid w:val="000A3D20"/>
    <w:rsid w:val="000A4C06"/>
    <w:rsid w:val="000A4D98"/>
    <w:rsid w:val="000A6259"/>
    <w:rsid w:val="000B029A"/>
    <w:rsid w:val="000B26CE"/>
    <w:rsid w:val="000B4FB6"/>
    <w:rsid w:val="000B54EB"/>
    <w:rsid w:val="000B60FA"/>
    <w:rsid w:val="000B6A2F"/>
    <w:rsid w:val="000B767B"/>
    <w:rsid w:val="000C01AC"/>
    <w:rsid w:val="000C058A"/>
    <w:rsid w:val="000C2C80"/>
    <w:rsid w:val="000C416E"/>
    <w:rsid w:val="000C5263"/>
    <w:rsid w:val="000D3B3A"/>
    <w:rsid w:val="000D447C"/>
    <w:rsid w:val="000D611E"/>
    <w:rsid w:val="000D61EB"/>
    <w:rsid w:val="000D77AC"/>
    <w:rsid w:val="000D7D8F"/>
    <w:rsid w:val="000E1319"/>
    <w:rsid w:val="000E21FC"/>
    <w:rsid w:val="000E2524"/>
    <w:rsid w:val="000E2B35"/>
    <w:rsid w:val="000E3BE9"/>
    <w:rsid w:val="000E3E22"/>
    <w:rsid w:val="000E427F"/>
    <w:rsid w:val="000E432E"/>
    <w:rsid w:val="000E5C90"/>
    <w:rsid w:val="000E6525"/>
    <w:rsid w:val="000E7ACD"/>
    <w:rsid w:val="000F0298"/>
    <w:rsid w:val="000F1E72"/>
    <w:rsid w:val="000F260D"/>
    <w:rsid w:val="000F4429"/>
    <w:rsid w:val="000F4EEA"/>
    <w:rsid w:val="000F5115"/>
    <w:rsid w:val="000F7993"/>
    <w:rsid w:val="00100E17"/>
    <w:rsid w:val="001015AF"/>
    <w:rsid w:val="001063E5"/>
    <w:rsid w:val="0010747B"/>
    <w:rsid w:val="0011019E"/>
    <w:rsid w:val="001105B5"/>
    <w:rsid w:val="001121EE"/>
    <w:rsid w:val="00112229"/>
    <w:rsid w:val="001128C3"/>
    <w:rsid w:val="001148BC"/>
    <w:rsid w:val="00120AB8"/>
    <w:rsid w:val="00121135"/>
    <w:rsid w:val="0012162B"/>
    <w:rsid w:val="0012543A"/>
    <w:rsid w:val="00126CE6"/>
    <w:rsid w:val="00133371"/>
    <w:rsid w:val="00133CB0"/>
    <w:rsid w:val="001365E4"/>
    <w:rsid w:val="00140BBC"/>
    <w:rsid w:val="001411FC"/>
    <w:rsid w:val="00142743"/>
    <w:rsid w:val="00142766"/>
    <w:rsid w:val="00143E17"/>
    <w:rsid w:val="00144DBF"/>
    <w:rsid w:val="00146CFD"/>
    <w:rsid w:val="0015104F"/>
    <w:rsid w:val="00152AB1"/>
    <w:rsid w:val="001537CB"/>
    <w:rsid w:val="001540EB"/>
    <w:rsid w:val="001554EF"/>
    <w:rsid w:val="001565DD"/>
    <w:rsid w:val="001565F4"/>
    <w:rsid w:val="00157469"/>
    <w:rsid w:val="0015761F"/>
    <w:rsid w:val="00157BDD"/>
    <w:rsid w:val="00157D80"/>
    <w:rsid w:val="001603F8"/>
    <w:rsid w:val="001636EC"/>
    <w:rsid w:val="00164718"/>
    <w:rsid w:val="00165401"/>
    <w:rsid w:val="00166BA4"/>
    <w:rsid w:val="00167A40"/>
    <w:rsid w:val="001723EC"/>
    <w:rsid w:val="00173DE2"/>
    <w:rsid w:val="001757D9"/>
    <w:rsid w:val="001761C1"/>
    <w:rsid w:val="00177CD2"/>
    <w:rsid w:val="001810DF"/>
    <w:rsid w:val="00181A7A"/>
    <w:rsid w:val="00182BF7"/>
    <w:rsid w:val="00185085"/>
    <w:rsid w:val="00185818"/>
    <w:rsid w:val="00186652"/>
    <w:rsid w:val="00191704"/>
    <w:rsid w:val="00195085"/>
    <w:rsid w:val="0019572F"/>
    <w:rsid w:val="00195E5A"/>
    <w:rsid w:val="00196122"/>
    <w:rsid w:val="00196E12"/>
    <w:rsid w:val="001A0D75"/>
    <w:rsid w:val="001A1060"/>
    <w:rsid w:val="001A1D9D"/>
    <w:rsid w:val="001A1FEA"/>
    <w:rsid w:val="001A666F"/>
    <w:rsid w:val="001B032A"/>
    <w:rsid w:val="001B0E17"/>
    <w:rsid w:val="001B2C14"/>
    <w:rsid w:val="001B3D40"/>
    <w:rsid w:val="001B4103"/>
    <w:rsid w:val="001B66AB"/>
    <w:rsid w:val="001C0634"/>
    <w:rsid w:val="001C0B26"/>
    <w:rsid w:val="001C0D98"/>
    <w:rsid w:val="001C1614"/>
    <w:rsid w:val="001C1B1A"/>
    <w:rsid w:val="001C2C10"/>
    <w:rsid w:val="001C3895"/>
    <w:rsid w:val="001C72BE"/>
    <w:rsid w:val="001D0B2C"/>
    <w:rsid w:val="001D189A"/>
    <w:rsid w:val="001D1CAB"/>
    <w:rsid w:val="001D22A0"/>
    <w:rsid w:val="001D269F"/>
    <w:rsid w:val="001D34BA"/>
    <w:rsid w:val="001D4B17"/>
    <w:rsid w:val="001D6485"/>
    <w:rsid w:val="001D6D65"/>
    <w:rsid w:val="001E13B1"/>
    <w:rsid w:val="001E22D3"/>
    <w:rsid w:val="001E2B91"/>
    <w:rsid w:val="001E3FB6"/>
    <w:rsid w:val="001E402E"/>
    <w:rsid w:val="001E42D4"/>
    <w:rsid w:val="001E54A9"/>
    <w:rsid w:val="001F1EC1"/>
    <w:rsid w:val="001F2A4A"/>
    <w:rsid w:val="001F3CEE"/>
    <w:rsid w:val="001F784B"/>
    <w:rsid w:val="002015E0"/>
    <w:rsid w:val="0020301E"/>
    <w:rsid w:val="00203302"/>
    <w:rsid w:val="002070C6"/>
    <w:rsid w:val="002075A8"/>
    <w:rsid w:val="0021001A"/>
    <w:rsid w:val="00212F7F"/>
    <w:rsid w:val="00215715"/>
    <w:rsid w:val="00215907"/>
    <w:rsid w:val="00216C62"/>
    <w:rsid w:val="0021790C"/>
    <w:rsid w:val="0022083D"/>
    <w:rsid w:val="002208C6"/>
    <w:rsid w:val="00221BC9"/>
    <w:rsid w:val="00221C58"/>
    <w:rsid w:val="002252DD"/>
    <w:rsid w:val="002259C9"/>
    <w:rsid w:val="00226B17"/>
    <w:rsid w:val="002272BC"/>
    <w:rsid w:val="00230636"/>
    <w:rsid w:val="00230F39"/>
    <w:rsid w:val="00232BC0"/>
    <w:rsid w:val="002334DF"/>
    <w:rsid w:val="0023567D"/>
    <w:rsid w:val="002401D1"/>
    <w:rsid w:val="002436F5"/>
    <w:rsid w:val="00243D8B"/>
    <w:rsid w:val="002460EB"/>
    <w:rsid w:val="00251136"/>
    <w:rsid w:val="00251A97"/>
    <w:rsid w:val="00255B09"/>
    <w:rsid w:val="00257780"/>
    <w:rsid w:val="00261EC4"/>
    <w:rsid w:val="00264934"/>
    <w:rsid w:val="00265308"/>
    <w:rsid w:val="002655B6"/>
    <w:rsid w:val="00265902"/>
    <w:rsid w:val="00267B91"/>
    <w:rsid w:val="002701D7"/>
    <w:rsid w:val="002709C7"/>
    <w:rsid w:val="0027348B"/>
    <w:rsid w:val="002735E6"/>
    <w:rsid w:val="00274D9F"/>
    <w:rsid w:val="00275EF6"/>
    <w:rsid w:val="00275F60"/>
    <w:rsid w:val="00276339"/>
    <w:rsid w:val="00276EC1"/>
    <w:rsid w:val="0027798F"/>
    <w:rsid w:val="00280A0D"/>
    <w:rsid w:val="00280DCD"/>
    <w:rsid w:val="0028271E"/>
    <w:rsid w:val="002831B8"/>
    <w:rsid w:val="00284716"/>
    <w:rsid w:val="00285FE7"/>
    <w:rsid w:val="00286A4D"/>
    <w:rsid w:val="00286E57"/>
    <w:rsid w:val="002907F0"/>
    <w:rsid w:val="00292612"/>
    <w:rsid w:val="00295AEC"/>
    <w:rsid w:val="00296480"/>
    <w:rsid w:val="002964E7"/>
    <w:rsid w:val="002A044B"/>
    <w:rsid w:val="002A0725"/>
    <w:rsid w:val="002A088E"/>
    <w:rsid w:val="002A2928"/>
    <w:rsid w:val="002A324C"/>
    <w:rsid w:val="002A623E"/>
    <w:rsid w:val="002A6CF2"/>
    <w:rsid w:val="002B1366"/>
    <w:rsid w:val="002B1C39"/>
    <w:rsid w:val="002B2784"/>
    <w:rsid w:val="002B4E1F"/>
    <w:rsid w:val="002C0E5F"/>
    <w:rsid w:val="002C12B5"/>
    <w:rsid w:val="002C6DD9"/>
    <w:rsid w:val="002D1550"/>
    <w:rsid w:val="002D1D4C"/>
    <w:rsid w:val="002D4ED3"/>
    <w:rsid w:val="002D5B9F"/>
    <w:rsid w:val="002E1858"/>
    <w:rsid w:val="002E3094"/>
    <w:rsid w:val="002E45D4"/>
    <w:rsid w:val="002E62C7"/>
    <w:rsid w:val="002E64DB"/>
    <w:rsid w:val="002E6530"/>
    <w:rsid w:val="002F00D4"/>
    <w:rsid w:val="002F29CF"/>
    <w:rsid w:val="002F4347"/>
    <w:rsid w:val="002F5A2F"/>
    <w:rsid w:val="002F5BDB"/>
    <w:rsid w:val="003013D8"/>
    <w:rsid w:val="00302E89"/>
    <w:rsid w:val="00303D74"/>
    <w:rsid w:val="00304858"/>
    <w:rsid w:val="00310B6F"/>
    <w:rsid w:val="00311647"/>
    <w:rsid w:val="0031200B"/>
    <w:rsid w:val="00312031"/>
    <w:rsid w:val="00312523"/>
    <w:rsid w:val="00314662"/>
    <w:rsid w:val="00317139"/>
    <w:rsid w:val="003172DA"/>
    <w:rsid w:val="00320443"/>
    <w:rsid w:val="003243AD"/>
    <w:rsid w:val="00324FD3"/>
    <w:rsid w:val="00327107"/>
    <w:rsid w:val="0032744E"/>
    <w:rsid w:val="00330E75"/>
    <w:rsid w:val="0033299D"/>
    <w:rsid w:val="00332A15"/>
    <w:rsid w:val="00333971"/>
    <w:rsid w:val="00336B1F"/>
    <w:rsid w:val="00336DF0"/>
    <w:rsid w:val="003373B1"/>
    <w:rsid w:val="003407C1"/>
    <w:rsid w:val="00342579"/>
    <w:rsid w:val="00342850"/>
    <w:rsid w:val="00343BC9"/>
    <w:rsid w:val="003449A3"/>
    <w:rsid w:val="00346BB9"/>
    <w:rsid w:val="00352021"/>
    <w:rsid w:val="0035589F"/>
    <w:rsid w:val="003558A4"/>
    <w:rsid w:val="00360DA3"/>
    <w:rsid w:val="00361609"/>
    <w:rsid w:val="00362A9D"/>
    <w:rsid w:val="00363299"/>
    <w:rsid w:val="00363E94"/>
    <w:rsid w:val="003666C2"/>
    <w:rsid w:val="00366718"/>
    <w:rsid w:val="00370608"/>
    <w:rsid w:val="00371AC7"/>
    <w:rsid w:val="0037208D"/>
    <w:rsid w:val="00373261"/>
    <w:rsid w:val="0037414F"/>
    <w:rsid w:val="00377186"/>
    <w:rsid w:val="003778DA"/>
    <w:rsid w:val="00377FBD"/>
    <w:rsid w:val="00380973"/>
    <w:rsid w:val="00381248"/>
    <w:rsid w:val="003833B4"/>
    <w:rsid w:val="003837C6"/>
    <w:rsid w:val="00383C2B"/>
    <w:rsid w:val="003849A8"/>
    <w:rsid w:val="0038662A"/>
    <w:rsid w:val="00386C07"/>
    <w:rsid w:val="003905F1"/>
    <w:rsid w:val="00394930"/>
    <w:rsid w:val="00394B3B"/>
    <w:rsid w:val="003A215D"/>
    <w:rsid w:val="003A368C"/>
    <w:rsid w:val="003A5DAC"/>
    <w:rsid w:val="003A7F6E"/>
    <w:rsid w:val="003B16A3"/>
    <w:rsid w:val="003B440D"/>
    <w:rsid w:val="003B6581"/>
    <w:rsid w:val="003C1420"/>
    <w:rsid w:val="003C1AD8"/>
    <w:rsid w:val="003C1E77"/>
    <w:rsid w:val="003C20AF"/>
    <w:rsid w:val="003C37A0"/>
    <w:rsid w:val="003C3A02"/>
    <w:rsid w:val="003C5218"/>
    <w:rsid w:val="003C5F5A"/>
    <w:rsid w:val="003C619C"/>
    <w:rsid w:val="003C6235"/>
    <w:rsid w:val="003C7232"/>
    <w:rsid w:val="003D233B"/>
    <w:rsid w:val="003D4EAA"/>
    <w:rsid w:val="003D6177"/>
    <w:rsid w:val="003D76EF"/>
    <w:rsid w:val="003E2DE5"/>
    <w:rsid w:val="003E3F8A"/>
    <w:rsid w:val="003E6206"/>
    <w:rsid w:val="003E76D6"/>
    <w:rsid w:val="003F1EA2"/>
    <w:rsid w:val="003F34A6"/>
    <w:rsid w:val="003F3FAB"/>
    <w:rsid w:val="003F6D96"/>
    <w:rsid w:val="00401FBB"/>
    <w:rsid w:val="00402B7A"/>
    <w:rsid w:val="004042CD"/>
    <w:rsid w:val="004047FA"/>
    <w:rsid w:val="004049C0"/>
    <w:rsid w:val="0040592F"/>
    <w:rsid w:val="00406360"/>
    <w:rsid w:val="00407E55"/>
    <w:rsid w:val="00413961"/>
    <w:rsid w:val="00414AB9"/>
    <w:rsid w:val="00415789"/>
    <w:rsid w:val="00416A53"/>
    <w:rsid w:val="00420A21"/>
    <w:rsid w:val="00423963"/>
    <w:rsid w:val="00424C03"/>
    <w:rsid w:val="00426221"/>
    <w:rsid w:val="00426AED"/>
    <w:rsid w:val="0043156C"/>
    <w:rsid w:val="00434783"/>
    <w:rsid w:val="004347BA"/>
    <w:rsid w:val="00436E23"/>
    <w:rsid w:val="00443021"/>
    <w:rsid w:val="0044483F"/>
    <w:rsid w:val="00445C4F"/>
    <w:rsid w:val="00451888"/>
    <w:rsid w:val="00451DE2"/>
    <w:rsid w:val="00453046"/>
    <w:rsid w:val="00453682"/>
    <w:rsid w:val="00453BFD"/>
    <w:rsid w:val="00456986"/>
    <w:rsid w:val="00457F66"/>
    <w:rsid w:val="0046422C"/>
    <w:rsid w:val="0046574D"/>
    <w:rsid w:val="00466077"/>
    <w:rsid w:val="004664DC"/>
    <w:rsid w:val="00471321"/>
    <w:rsid w:val="00474D22"/>
    <w:rsid w:val="00481E77"/>
    <w:rsid w:val="004841F0"/>
    <w:rsid w:val="00484E43"/>
    <w:rsid w:val="004912F2"/>
    <w:rsid w:val="00491FC6"/>
    <w:rsid w:val="004920DB"/>
    <w:rsid w:val="00492598"/>
    <w:rsid w:val="00494F0F"/>
    <w:rsid w:val="0049507E"/>
    <w:rsid w:val="004951B3"/>
    <w:rsid w:val="004A01D1"/>
    <w:rsid w:val="004A16EF"/>
    <w:rsid w:val="004A2AA8"/>
    <w:rsid w:val="004A51CC"/>
    <w:rsid w:val="004B0AB3"/>
    <w:rsid w:val="004B13BC"/>
    <w:rsid w:val="004B13C6"/>
    <w:rsid w:val="004B2C87"/>
    <w:rsid w:val="004B2E9E"/>
    <w:rsid w:val="004B437B"/>
    <w:rsid w:val="004B5A3C"/>
    <w:rsid w:val="004C0796"/>
    <w:rsid w:val="004C1DA0"/>
    <w:rsid w:val="004C45D7"/>
    <w:rsid w:val="004C5F3D"/>
    <w:rsid w:val="004C63E9"/>
    <w:rsid w:val="004C7E00"/>
    <w:rsid w:val="004D0854"/>
    <w:rsid w:val="004D2FFC"/>
    <w:rsid w:val="004D3215"/>
    <w:rsid w:val="004D6063"/>
    <w:rsid w:val="004D67C8"/>
    <w:rsid w:val="004E2029"/>
    <w:rsid w:val="004E309E"/>
    <w:rsid w:val="004E33FE"/>
    <w:rsid w:val="004E3A31"/>
    <w:rsid w:val="004E3B74"/>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2242"/>
    <w:rsid w:val="00512DA3"/>
    <w:rsid w:val="00513495"/>
    <w:rsid w:val="00514000"/>
    <w:rsid w:val="00515D04"/>
    <w:rsid w:val="0052013E"/>
    <w:rsid w:val="0052176D"/>
    <w:rsid w:val="00521C2B"/>
    <w:rsid w:val="00521EC5"/>
    <w:rsid w:val="005228A0"/>
    <w:rsid w:val="00523476"/>
    <w:rsid w:val="00524ECC"/>
    <w:rsid w:val="00527ABE"/>
    <w:rsid w:val="00527C5C"/>
    <w:rsid w:val="00530615"/>
    <w:rsid w:val="00530C9A"/>
    <w:rsid w:val="00531E4F"/>
    <w:rsid w:val="00532122"/>
    <w:rsid w:val="005322A1"/>
    <w:rsid w:val="00532451"/>
    <w:rsid w:val="00532E4D"/>
    <w:rsid w:val="00537C30"/>
    <w:rsid w:val="00542D73"/>
    <w:rsid w:val="005438C8"/>
    <w:rsid w:val="005441BD"/>
    <w:rsid w:val="00547702"/>
    <w:rsid w:val="00551408"/>
    <w:rsid w:val="0055417E"/>
    <w:rsid w:val="0055440A"/>
    <w:rsid w:val="00557EBC"/>
    <w:rsid w:val="00560457"/>
    <w:rsid w:val="0056066A"/>
    <w:rsid w:val="00563108"/>
    <w:rsid w:val="00563C69"/>
    <w:rsid w:val="005642B4"/>
    <w:rsid w:val="005646F3"/>
    <w:rsid w:val="005649F5"/>
    <w:rsid w:val="00565133"/>
    <w:rsid w:val="00565E93"/>
    <w:rsid w:val="005678D6"/>
    <w:rsid w:val="005709A6"/>
    <w:rsid w:val="00572320"/>
    <w:rsid w:val="00572B50"/>
    <w:rsid w:val="00572DF4"/>
    <w:rsid w:val="00574AEC"/>
    <w:rsid w:val="00575805"/>
    <w:rsid w:val="00576C52"/>
    <w:rsid w:val="005773E7"/>
    <w:rsid w:val="00577B02"/>
    <w:rsid w:val="00580D05"/>
    <w:rsid w:val="00582A2E"/>
    <w:rsid w:val="00583761"/>
    <w:rsid w:val="00583FBD"/>
    <w:rsid w:val="00584D9B"/>
    <w:rsid w:val="00585865"/>
    <w:rsid w:val="005870A8"/>
    <w:rsid w:val="0058749F"/>
    <w:rsid w:val="00592101"/>
    <w:rsid w:val="0059258A"/>
    <w:rsid w:val="0059356B"/>
    <w:rsid w:val="005935B6"/>
    <w:rsid w:val="00594065"/>
    <w:rsid w:val="0059410E"/>
    <w:rsid w:val="005942E2"/>
    <w:rsid w:val="005947CB"/>
    <w:rsid w:val="005955EA"/>
    <w:rsid w:val="005963C1"/>
    <w:rsid w:val="00596E14"/>
    <w:rsid w:val="00597B78"/>
    <w:rsid w:val="005A0A94"/>
    <w:rsid w:val="005A2789"/>
    <w:rsid w:val="005A47AA"/>
    <w:rsid w:val="005B1363"/>
    <w:rsid w:val="005B23AF"/>
    <w:rsid w:val="005B2F4D"/>
    <w:rsid w:val="005B4215"/>
    <w:rsid w:val="005B435A"/>
    <w:rsid w:val="005B5656"/>
    <w:rsid w:val="005C16B3"/>
    <w:rsid w:val="005C25CF"/>
    <w:rsid w:val="005C303C"/>
    <w:rsid w:val="005C39E8"/>
    <w:rsid w:val="005C7F82"/>
    <w:rsid w:val="005D0866"/>
    <w:rsid w:val="005D537D"/>
    <w:rsid w:val="005D5858"/>
    <w:rsid w:val="005D5C82"/>
    <w:rsid w:val="005D5CAF"/>
    <w:rsid w:val="005D6FD6"/>
    <w:rsid w:val="005E0DE1"/>
    <w:rsid w:val="005E2097"/>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15A66"/>
    <w:rsid w:val="00617B7F"/>
    <w:rsid w:val="0062075A"/>
    <w:rsid w:val="00620B95"/>
    <w:rsid w:val="00621864"/>
    <w:rsid w:val="00622277"/>
    <w:rsid w:val="0062350E"/>
    <w:rsid w:val="00625ED8"/>
    <w:rsid w:val="006267D2"/>
    <w:rsid w:val="006271AA"/>
    <w:rsid w:val="006328DB"/>
    <w:rsid w:val="00634DA7"/>
    <w:rsid w:val="006350C4"/>
    <w:rsid w:val="006416D6"/>
    <w:rsid w:val="00642844"/>
    <w:rsid w:val="006434EF"/>
    <w:rsid w:val="0064409B"/>
    <w:rsid w:val="006441C2"/>
    <w:rsid w:val="00644FCB"/>
    <w:rsid w:val="00645C44"/>
    <w:rsid w:val="00647F0A"/>
    <w:rsid w:val="00651A07"/>
    <w:rsid w:val="00651EA5"/>
    <w:rsid w:val="00654017"/>
    <w:rsid w:val="0065478B"/>
    <w:rsid w:val="00655769"/>
    <w:rsid w:val="00655E3F"/>
    <w:rsid w:val="00656186"/>
    <w:rsid w:val="00656622"/>
    <w:rsid w:val="0065717B"/>
    <w:rsid w:val="0065745C"/>
    <w:rsid w:val="00657F71"/>
    <w:rsid w:val="00660511"/>
    <w:rsid w:val="00662F03"/>
    <w:rsid w:val="006652A6"/>
    <w:rsid w:val="00667BB6"/>
    <w:rsid w:val="006717D5"/>
    <w:rsid w:val="00672978"/>
    <w:rsid w:val="00672BF3"/>
    <w:rsid w:val="006734AB"/>
    <w:rsid w:val="006737D3"/>
    <w:rsid w:val="00673F34"/>
    <w:rsid w:val="0067435B"/>
    <w:rsid w:val="006753CA"/>
    <w:rsid w:val="00675E6F"/>
    <w:rsid w:val="0067793E"/>
    <w:rsid w:val="00682D07"/>
    <w:rsid w:val="00683064"/>
    <w:rsid w:val="00683A45"/>
    <w:rsid w:val="0068424E"/>
    <w:rsid w:val="00687058"/>
    <w:rsid w:val="00694430"/>
    <w:rsid w:val="00694677"/>
    <w:rsid w:val="00694A71"/>
    <w:rsid w:val="00697FAC"/>
    <w:rsid w:val="006A03A3"/>
    <w:rsid w:val="006A11C3"/>
    <w:rsid w:val="006A6EA7"/>
    <w:rsid w:val="006A74BC"/>
    <w:rsid w:val="006B0696"/>
    <w:rsid w:val="006B1054"/>
    <w:rsid w:val="006B1BDB"/>
    <w:rsid w:val="006B2684"/>
    <w:rsid w:val="006B279A"/>
    <w:rsid w:val="006B503F"/>
    <w:rsid w:val="006B64A8"/>
    <w:rsid w:val="006B707C"/>
    <w:rsid w:val="006C0720"/>
    <w:rsid w:val="006C1ADB"/>
    <w:rsid w:val="006C24CB"/>
    <w:rsid w:val="006C344D"/>
    <w:rsid w:val="006C6020"/>
    <w:rsid w:val="006D0225"/>
    <w:rsid w:val="006D0265"/>
    <w:rsid w:val="006D15F6"/>
    <w:rsid w:val="006D1681"/>
    <w:rsid w:val="006D1C5E"/>
    <w:rsid w:val="006D1E83"/>
    <w:rsid w:val="006D1FAE"/>
    <w:rsid w:val="006D2E1F"/>
    <w:rsid w:val="006D3B55"/>
    <w:rsid w:val="006D3F6A"/>
    <w:rsid w:val="006D71DD"/>
    <w:rsid w:val="006D767D"/>
    <w:rsid w:val="006E00D5"/>
    <w:rsid w:val="006E3151"/>
    <w:rsid w:val="006E3515"/>
    <w:rsid w:val="006F1BD6"/>
    <w:rsid w:val="006F1F8F"/>
    <w:rsid w:val="006F594C"/>
    <w:rsid w:val="006F5E34"/>
    <w:rsid w:val="006F7F2A"/>
    <w:rsid w:val="00701118"/>
    <w:rsid w:val="00701A3A"/>
    <w:rsid w:val="0070344F"/>
    <w:rsid w:val="0070410C"/>
    <w:rsid w:val="00704C6B"/>
    <w:rsid w:val="00705BD4"/>
    <w:rsid w:val="00706159"/>
    <w:rsid w:val="0070672E"/>
    <w:rsid w:val="007105C0"/>
    <w:rsid w:val="007107EE"/>
    <w:rsid w:val="00711777"/>
    <w:rsid w:val="00712B55"/>
    <w:rsid w:val="00713BBB"/>
    <w:rsid w:val="00714BA2"/>
    <w:rsid w:val="007166C4"/>
    <w:rsid w:val="0071745C"/>
    <w:rsid w:val="00720238"/>
    <w:rsid w:val="007211A4"/>
    <w:rsid w:val="007212A4"/>
    <w:rsid w:val="0072225D"/>
    <w:rsid w:val="00725EDA"/>
    <w:rsid w:val="00726D6D"/>
    <w:rsid w:val="00727E48"/>
    <w:rsid w:val="00730440"/>
    <w:rsid w:val="00731CFE"/>
    <w:rsid w:val="00732D8B"/>
    <w:rsid w:val="0073329F"/>
    <w:rsid w:val="00733D8A"/>
    <w:rsid w:val="00736000"/>
    <w:rsid w:val="00737805"/>
    <w:rsid w:val="00737D2B"/>
    <w:rsid w:val="00740FDE"/>
    <w:rsid w:val="00742FB9"/>
    <w:rsid w:val="00745DE3"/>
    <w:rsid w:val="0074665A"/>
    <w:rsid w:val="007469E6"/>
    <w:rsid w:val="00746B11"/>
    <w:rsid w:val="007472C3"/>
    <w:rsid w:val="00747D2E"/>
    <w:rsid w:val="00747E3A"/>
    <w:rsid w:val="0075090F"/>
    <w:rsid w:val="0075097C"/>
    <w:rsid w:val="00752131"/>
    <w:rsid w:val="0075276D"/>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5F22"/>
    <w:rsid w:val="00776CA9"/>
    <w:rsid w:val="007826D3"/>
    <w:rsid w:val="00783A1F"/>
    <w:rsid w:val="00784A3F"/>
    <w:rsid w:val="0078508A"/>
    <w:rsid w:val="0078543A"/>
    <w:rsid w:val="00785529"/>
    <w:rsid w:val="00786B2C"/>
    <w:rsid w:val="00786E32"/>
    <w:rsid w:val="00793315"/>
    <w:rsid w:val="007A0311"/>
    <w:rsid w:val="007A056D"/>
    <w:rsid w:val="007A0E3A"/>
    <w:rsid w:val="007A4003"/>
    <w:rsid w:val="007A5F9C"/>
    <w:rsid w:val="007A5FCE"/>
    <w:rsid w:val="007B1864"/>
    <w:rsid w:val="007B375D"/>
    <w:rsid w:val="007B4885"/>
    <w:rsid w:val="007B5545"/>
    <w:rsid w:val="007C01FC"/>
    <w:rsid w:val="007C17D5"/>
    <w:rsid w:val="007C2592"/>
    <w:rsid w:val="007C276C"/>
    <w:rsid w:val="007C2B58"/>
    <w:rsid w:val="007C2DE7"/>
    <w:rsid w:val="007C4355"/>
    <w:rsid w:val="007C56F2"/>
    <w:rsid w:val="007D2315"/>
    <w:rsid w:val="007D2C55"/>
    <w:rsid w:val="007D31F9"/>
    <w:rsid w:val="007D4551"/>
    <w:rsid w:val="007D7264"/>
    <w:rsid w:val="007E0E68"/>
    <w:rsid w:val="007E10FF"/>
    <w:rsid w:val="007E1918"/>
    <w:rsid w:val="007E2B35"/>
    <w:rsid w:val="007E30CA"/>
    <w:rsid w:val="007E461E"/>
    <w:rsid w:val="007E4620"/>
    <w:rsid w:val="007E4FEC"/>
    <w:rsid w:val="007E51EA"/>
    <w:rsid w:val="007E5CEF"/>
    <w:rsid w:val="007E720E"/>
    <w:rsid w:val="007F010C"/>
    <w:rsid w:val="007F1473"/>
    <w:rsid w:val="007F365E"/>
    <w:rsid w:val="007F45A7"/>
    <w:rsid w:val="007F53C4"/>
    <w:rsid w:val="00800A2F"/>
    <w:rsid w:val="00801459"/>
    <w:rsid w:val="0080308B"/>
    <w:rsid w:val="00803AF8"/>
    <w:rsid w:val="008046AB"/>
    <w:rsid w:val="0080599B"/>
    <w:rsid w:val="00806ACE"/>
    <w:rsid w:val="00807638"/>
    <w:rsid w:val="00807BF3"/>
    <w:rsid w:val="0081198A"/>
    <w:rsid w:val="00811F4D"/>
    <w:rsid w:val="00816C3D"/>
    <w:rsid w:val="00817B5C"/>
    <w:rsid w:val="008207A5"/>
    <w:rsid w:val="008207CD"/>
    <w:rsid w:val="00821A2C"/>
    <w:rsid w:val="00821B20"/>
    <w:rsid w:val="008244AC"/>
    <w:rsid w:val="008246B9"/>
    <w:rsid w:val="00824E90"/>
    <w:rsid w:val="00825C43"/>
    <w:rsid w:val="008264E0"/>
    <w:rsid w:val="00826BF1"/>
    <w:rsid w:val="008312A9"/>
    <w:rsid w:val="0083145E"/>
    <w:rsid w:val="008332B7"/>
    <w:rsid w:val="008351B0"/>
    <w:rsid w:val="00836052"/>
    <w:rsid w:val="008409DE"/>
    <w:rsid w:val="00840A44"/>
    <w:rsid w:val="008411D8"/>
    <w:rsid w:val="0084469D"/>
    <w:rsid w:val="00844B2D"/>
    <w:rsid w:val="008466F2"/>
    <w:rsid w:val="008522F8"/>
    <w:rsid w:val="008558BC"/>
    <w:rsid w:val="00857942"/>
    <w:rsid w:val="008604B2"/>
    <w:rsid w:val="00860C65"/>
    <w:rsid w:val="00861DFE"/>
    <w:rsid w:val="00862825"/>
    <w:rsid w:val="0086552F"/>
    <w:rsid w:val="00873374"/>
    <w:rsid w:val="0087487C"/>
    <w:rsid w:val="00874F6F"/>
    <w:rsid w:val="00875062"/>
    <w:rsid w:val="008754D1"/>
    <w:rsid w:val="00876474"/>
    <w:rsid w:val="0087687F"/>
    <w:rsid w:val="00884EA8"/>
    <w:rsid w:val="00885319"/>
    <w:rsid w:val="008858A1"/>
    <w:rsid w:val="00886238"/>
    <w:rsid w:val="008916EC"/>
    <w:rsid w:val="008917E5"/>
    <w:rsid w:val="00892211"/>
    <w:rsid w:val="008922E3"/>
    <w:rsid w:val="00892A21"/>
    <w:rsid w:val="008938F7"/>
    <w:rsid w:val="008956EA"/>
    <w:rsid w:val="008956F9"/>
    <w:rsid w:val="008972AF"/>
    <w:rsid w:val="00897861"/>
    <w:rsid w:val="008A053C"/>
    <w:rsid w:val="008A2780"/>
    <w:rsid w:val="008A440D"/>
    <w:rsid w:val="008A523D"/>
    <w:rsid w:val="008A6BB2"/>
    <w:rsid w:val="008B015E"/>
    <w:rsid w:val="008B3137"/>
    <w:rsid w:val="008B459B"/>
    <w:rsid w:val="008B568D"/>
    <w:rsid w:val="008B587C"/>
    <w:rsid w:val="008B5FE3"/>
    <w:rsid w:val="008B6D80"/>
    <w:rsid w:val="008B75CA"/>
    <w:rsid w:val="008C257D"/>
    <w:rsid w:val="008C2C1A"/>
    <w:rsid w:val="008C4F88"/>
    <w:rsid w:val="008C57CA"/>
    <w:rsid w:val="008C7FFC"/>
    <w:rsid w:val="008D093F"/>
    <w:rsid w:val="008D291C"/>
    <w:rsid w:val="008D3142"/>
    <w:rsid w:val="008D3E91"/>
    <w:rsid w:val="008D4BE2"/>
    <w:rsid w:val="008D6EC9"/>
    <w:rsid w:val="008D7414"/>
    <w:rsid w:val="008D7F66"/>
    <w:rsid w:val="008E0937"/>
    <w:rsid w:val="008E1EC5"/>
    <w:rsid w:val="008E21A5"/>
    <w:rsid w:val="008E4736"/>
    <w:rsid w:val="008F2B5C"/>
    <w:rsid w:val="00901BEF"/>
    <w:rsid w:val="00901D2C"/>
    <w:rsid w:val="009026ED"/>
    <w:rsid w:val="009030BF"/>
    <w:rsid w:val="009046F5"/>
    <w:rsid w:val="00904CE6"/>
    <w:rsid w:val="009055B3"/>
    <w:rsid w:val="00905B0F"/>
    <w:rsid w:val="00906749"/>
    <w:rsid w:val="00906924"/>
    <w:rsid w:val="00911B04"/>
    <w:rsid w:val="00911C6C"/>
    <w:rsid w:val="00912AE7"/>
    <w:rsid w:val="00914263"/>
    <w:rsid w:val="00914280"/>
    <w:rsid w:val="00915795"/>
    <w:rsid w:val="00915936"/>
    <w:rsid w:val="009201D0"/>
    <w:rsid w:val="009202D3"/>
    <w:rsid w:val="00921283"/>
    <w:rsid w:val="009222B8"/>
    <w:rsid w:val="00922786"/>
    <w:rsid w:val="00923B3D"/>
    <w:rsid w:val="0092438F"/>
    <w:rsid w:val="0092459F"/>
    <w:rsid w:val="009269BE"/>
    <w:rsid w:val="00926F17"/>
    <w:rsid w:val="009303EB"/>
    <w:rsid w:val="00931513"/>
    <w:rsid w:val="0093242F"/>
    <w:rsid w:val="00933C53"/>
    <w:rsid w:val="00933F79"/>
    <w:rsid w:val="0093669A"/>
    <w:rsid w:val="0093792F"/>
    <w:rsid w:val="00940A34"/>
    <w:rsid w:val="00940A79"/>
    <w:rsid w:val="0094272F"/>
    <w:rsid w:val="009440A2"/>
    <w:rsid w:val="0094500C"/>
    <w:rsid w:val="0094549E"/>
    <w:rsid w:val="00946D77"/>
    <w:rsid w:val="0094716C"/>
    <w:rsid w:val="009513FD"/>
    <w:rsid w:val="0095228D"/>
    <w:rsid w:val="00952A0F"/>
    <w:rsid w:val="00952B59"/>
    <w:rsid w:val="0095394D"/>
    <w:rsid w:val="00957118"/>
    <w:rsid w:val="00960A33"/>
    <w:rsid w:val="00961AC0"/>
    <w:rsid w:val="00961F41"/>
    <w:rsid w:val="0096383C"/>
    <w:rsid w:val="00963D1F"/>
    <w:rsid w:val="00965A50"/>
    <w:rsid w:val="00965D02"/>
    <w:rsid w:val="0096691F"/>
    <w:rsid w:val="009674A5"/>
    <w:rsid w:val="009675AA"/>
    <w:rsid w:val="0097065E"/>
    <w:rsid w:val="00970772"/>
    <w:rsid w:val="00971042"/>
    <w:rsid w:val="0097221E"/>
    <w:rsid w:val="00973A0F"/>
    <w:rsid w:val="0097618B"/>
    <w:rsid w:val="009774F9"/>
    <w:rsid w:val="00981EC4"/>
    <w:rsid w:val="009830C2"/>
    <w:rsid w:val="0098607F"/>
    <w:rsid w:val="009872F4"/>
    <w:rsid w:val="0099219B"/>
    <w:rsid w:val="00992BA2"/>
    <w:rsid w:val="00993997"/>
    <w:rsid w:val="00994445"/>
    <w:rsid w:val="009963D4"/>
    <w:rsid w:val="009968F2"/>
    <w:rsid w:val="009977D1"/>
    <w:rsid w:val="009A0B23"/>
    <w:rsid w:val="009A0CE5"/>
    <w:rsid w:val="009A393E"/>
    <w:rsid w:val="009A3ABE"/>
    <w:rsid w:val="009A4CBB"/>
    <w:rsid w:val="009A52AD"/>
    <w:rsid w:val="009A6E47"/>
    <w:rsid w:val="009A73DE"/>
    <w:rsid w:val="009B0E42"/>
    <w:rsid w:val="009B1C53"/>
    <w:rsid w:val="009B21AE"/>
    <w:rsid w:val="009B6EBC"/>
    <w:rsid w:val="009B75C6"/>
    <w:rsid w:val="009C056F"/>
    <w:rsid w:val="009C2A77"/>
    <w:rsid w:val="009C49CA"/>
    <w:rsid w:val="009C5095"/>
    <w:rsid w:val="009C7F3E"/>
    <w:rsid w:val="009D0C49"/>
    <w:rsid w:val="009D3443"/>
    <w:rsid w:val="009D3CDB"/>
    <w:rsid w:val="009D3DBD"/>
    <w:rsid w:val="009D429B"/>
    <w:rsid w:val="009D47E0"/>
    <w:rsid w:val="009D5F47"/>
    <w:rsid w:val="009D77F3"/>
    <w:rsid w:val="009E134B"/>
    <w:rsid w:val="009E5110"/>
    <w:rsid w:val="009E5DB6"/>
    <w:rsid w:val="009E6539"/>
    <w:rsid w:val="009E66C3"/>
    <w:rsid w:val="009E6BE1"/>
    <w:rsid w:val="009E79BE"/>
    <w:rsid w:val="009F0F2B"/>
    <w:rsid w:val="009F33C9"/>
    <w:rsid w:val="009F4A96"/>
    <w:rsid w:val="009F689A"/>
    <w:rsid w:val="009F6CDC"/>
    <w:rsid w:val="009F735A"/>
    <w:rsid w:val="009F7600"/>
    <w:rsid w:val="00A00CBB"/>
    <w:rsid w:val="00A012CE"/>
    <w:rsid w:val="00A021A1"/>
    <w:rsid w:val="00A02A23"/>
    <w:rsid w:val="00A03365"/>
    <w:rsid w:val="00A04D5C"/>
    <w:rsid w:val="00A07879"/>
    <w:rsid w:val="00A13311"/>
    <w:rsid w:val="00A1474E"/>
    <w:rsid w:val="00A156A1"/>
    <w:rsid w:val="00A1618E"/>
    <w:rsid w:val="00A219F3"/>
    <w:rsid w:val="00A23E01"/>
    <w:rsid w:val="00A240AC"/>
    <w:rsid w:val="00A24135"/>
    <w:rsid w:val="00A25420"/>
    <w:rsid w:val="00A25C8D"/>
    <w:rsid w:val="00A2754E"/>
    <w:rsid w:val="00A276B5"/>
    <w:rsid w:val="00A3239C"/>
    <w:rsid w:val="00A41A02"/>
    <w:rsid w:val="00A43EBA"/>
    <w:rsid w:val="00A43F47"/>
    <w:rsid w:val="00A447F7"/>
    <w:rsid w:val="00A45BE7"/>
    <w:rsid w:val="00A50972"/>
    <w:rsid w:val="00A50D6A"/>
    <w:rsid w:val="00A50FFE"/>
    <w:rsid w:val="00A52D96"/>
    <w:rsid w:val="00A53E1F"/>
    <w:rsid w:val="00A6016C"/>
    <w:rsid w:val="00A60798"/>
    <w:rsid w:val="00A60BC7"/>
    <w:rsid w:val="00A614C8"/>
    <w:rsid w:val="00A62193"/>
    <w:rsid w:val="00A62552"/>
    <w:rsid w:val="00A65C80"/>
    <w:rsid w:val="00A66EB7"/>
    <w:rsid w:val="00A7060B"/>
    <w:rsid w:val="00A70D02"/>
    <w:rsid w:val="00A71A23"/>
    <w:rsid w:val="00A734A4"/>
    <w:rsid w:val="00A737C6"/>
    <w:rsid w:val="00A73F40"/>
    <w:rsid w:val="00A807EA"/>
    <w:rsid w:val="00A81C7A"/>
    <w:rsid w:val="00A8243B"/>
    <w:rsid w:val="00A83578"/>
    <w:rsid w:val="00A845A8"/>
    <w:rsid w:val="00A85B6E"/>
    <w:rsid w:val="00A86E94"/>
    <w:rsid w:val="00A927B8"/>
    <w:rsid w:val="00A92C42"/>
    <w:rsid w:val="00A9319E"/>
    <w:rsid w:val="00A93B18"/>
    <w:rsid w:val="00A93DC2"/>
    <w:rsid w:val="00A9696C"/>
    <w:rsid w:val="00A96B49"/>
    <w:rsid w:val="00A96D72"/>
    <w:rsid w:val="00AA080D"/>
    <w:rsid w:val="00AA12F7"/>
    <w:rsid w:val="00AA1AEB"/>
    <w:rsid w:val="00AA24D4"/>
    <w:rsid w:val="00AA295A"/>
    <w:rsid w:val="00AA2AD4"/>
    <w:rsid w:val="00AA2D41"/>
    <w:rsid w:val="00AA2D43"/>
    <w:rsid w:val="00AA41AD"/>
    <w:rsid w:val="00AA78C6"/>
    <w:rsid w:val="00AB0A9A"/>
    <w:rsid w:val="00AB0E40"/>
    <w:rsid w:val="00AB2DE2"/>
    <w:rsid w:val="00AB3AEC"/>
    <w:rsid w:val="00AB4337"/>
    <w:rsid w:val="00AB43A5"/>
    <w:rsid w:val="00AB4E72"/>
    <w:rsid w:val="00AB5B30"/>
    <w:rsid w:val="00AB7D0E"/>
    <w:rsid w:val="00AC0484"/>
    <w:rsid w:val="00AC0AE1"/>
    <w:rsid w:val="00AC1AE1"/>
    <w:rsid w:val="00AC2203"/>
    <w:rsid w:val="00AC2903"/>
    <w:rsid w:val="00AC48A2"/>
    <w:rsid w:val="00AC4FD6"/>
    <w:rsid w:val="00AC550E"/>
    <w:rsid w:val="00AC571E"/>
    <w:rsid w:val="00AC733B"/>
    <w:rsid w:val="00AC7993"/>
    <w:rsid w:val="00AC7AC8"/>
    <w:rsid w:val="00AC7DFF"/>
    <w:rsid w:val="00AD0CC6"/>
    <w:rsid w:val="00AD2C8D"/>
    <w:rsid w:val="00AD2FDB"/>
    <w:rsid w:val="00AD4160"/>
    <w:rsid w:val="00AD52CD"/>
    <w:rsid w:val="00AD5960"/>
    <w:rsid w:val="00AE25FD"/>
    <w:rsid w:val="00AE40D5"/>
    <w:rsid w:val="00AE57BB"/>
    <w:rsid w:val="00AE6B19"/>
    <w:rsid w:val="00AF17B2"/>
    <w:rsid w:val="00AF1B49"/>
    <w:rsid w:val="00AF2351"/>
    <w:rsid w:val="00AF321A"/>
    <w:rsid w:val="00AF43EC"/>
    <w:rsid w:val="00AF49C0"/>
    <w:rsid w:val="00AF4B41"/>
    <w:rsid w:val="00AF5241"/>
    <w:rsid w:val="00AF799B"/>
    <w:rsid w:val="00B02147"/>
    <w:rsid w:val="00B029A1"/>
    <w:rsid w:val="00B029CC"/>
    <w:rsid w:val="00B0347D"/>
    <w:rsid w:val="00B034E2"/>
    <w:rsid w:val="00B03759"/>
    <w:rsid w:val="00B043B8"/>
    <w:rsid w:val="00B04B1F"/>
    <w:rsid w:val="00B05653"/>
    <w:rsid w:val="00B070D3"/>
    <w:rsid w:val="00B07C5E"/>
    <w:rsid w:val="00B07EC1"/>
    <w:rsid w:val="00B10A7D"/>
    <w:rsid w:val="00B12C91"/>
    <w:rsid w:val="00B13906"/>
    <w:rsid w:val="00B150FB"/>
    <w:rsid w:val="00B15262"/>
    <w:rsid w:val="00B15669"/>
    <w:rsid w:val="00B173DC"/>
    <w:rsid w:val="00B21824"/>
    <w:rsid w:val="00B2249F"/>
    <w:rsid w:val="00B2275A"/>
    <w:rsid w:val="00B22C4A"/>
    <w:rsid w:val="00B22E65"/>
    <w:rsid w:val="00B22F0A"/>
    <w:rsid w:val="00B23937"/>
    <w:rsid w:val="00B23CAE"/>
    <w:rsid w:val="00B23D10"/>
    <w:rsid w:val="00B24E24"/>
    <w:rsid w:val="00B26C33"/>
    <w:rsid w:val="00B330B2"/>
    <w:rsid w:val="00B34020"/>
    <w:rsid w:val="00B3417B"/>
    <w:rsid w:val="00B3476B"/>
    <w:rsid w:val="00B34C80"/>
    <w:rsid w:val="00B40258"/>
    <w:rsid w:val="00B4088D"/>
    <w:rsid w:val="00B4106D"/>
    <w:rsid w:val="00B41973"/>
    <w:rsid w:val="00B41F62"/>
    <w:rsid w:val="00B44C4A"/>
    <w:rsid w:val="00B44FAE"/>
    <w:rsid w:val="00B47524"/>
    <w:rsid w:val="00B47A58"/>
    <w:rsid w:val="00B52D6C"/>
    <w:rsid w:val="00B55602"/>
    <w:rsid w:val="00B56529"/>
    <w:rsid w:val="00B6179B"/>
    <w:rsid w:val="00B617E1"/>
    <w:rsid w:val="00B61E7F"/>
    <w:rsid w:val="00B62E19"/>
    <w:rsid w:val="00B66256"/>
    <w:rsid w:val="00B67DA6"/>
    <w:rsid w:val="00B72788"/>
    <w:rsid w:val="00B7317C"/>
    <w:rsid w:val="00B74B2B"/>
    <w:rsid w:val="00B74BEC"/>
    <w:rsid w:val="00B77A86"/>
    <w:rsid w:val="00B819F9"/>
    <w:rsid w:val="00B81E88"/>
    <w:rsid w:val="00B83617"/>
    <w:rsid w:val="00B865C8"/>
    <w:rsid w:val="00B86F3F"/>
    <w:rsid w:val="00B86F56"/>
    <w:rsid w:val="00B873DA"/>
    <w:rsid w:val="00B8798B"/>
    <w:rsid w:val="00B87FDA"/>
    <w:rsid w:val="00B9094E"/>
    <w:rsid w:val="00B91FC3"/>
    <w:rsid w:val="00B93FA9"/>
    <w:rsid w:val="00B949DA"/>
    <w:rsid w:val="00B94E28"/>
    <w:rsid w:val="00B94F2F"/>
    <w:rsid w:val="00B95DEE"/>
    <w:rsid w:val="00BA055C"/>
    <w:rsid w:val="00BA198C"/>
    <w:rsid w:val="00BA6452"/>
    <w:rsid w:val="00BA6B35"/>
    <w:rsid w:val="00BA6BD3"/>
    <w:rsid w:val="00BA784B"/>
    <w:rsid w:val="00BB0446"/>
    <w:rsid w:val="00BB19C0"/>
    <w:rsid w:val="00BB237C"/>
    <w:rsid w:val="00BB6831"/>
    <w:rsid w:val="00BC045D"/>
    <w:rsid w:val="00BC1199"/>
    <w:rsid w:val="00BC2F7C"/>
    <w:rsid w:val="00BC3E37"/>
    <w:rsid w:val="00BC5E23"/>
    <w:rsid w:val="00BC6658"/>
    <w:rsid w:val="00BC697F"/>
    <w:rsid w:val="00BC726F"/>
    <w:rsid w:val="00BD0428"/>
    <w:rsid w:val="00BD2B69"/>
    <w:rsid w:val="00BD4143"/>
    <w:rsid w:val="00BD4667"/>
    <w:rsid w:val="00BD5386"/>
    <w:rsid w:val="00BD5AAE"/>
    <w:rsid w:val="00BD709C"/>
    <w:rsid w:val="00BE152B"/>
    <w:rsid w:val="00BE17CD"/>
    <w:rsid w:val="00BE1E9C"/>
    <w:rsid w:val="00BE2F23"/>
    <w:rsid w:val="00BE6884"/>
    <w:rsid w:val="00BE6AA6"/>
    <w:rsid w:val="00BE7044"/>
    <w:rsid w:val="00BE7D34"/>
    <w:rsid w:val="00BF0042"/>
    <w:rsid w:val="00BF0967"/>
    <w:rsid w:val="00BF1870"/>
    <w:rsid w:val="00BF1DFA"/>
    <w:rsid w:val="00BF2795"/>
    <w:rsid w:val="00BF2B5C"/>
    <w:rsid w:val="00BF39A3"/>
    <w:rsid w:val="00BF3A69"/>
    <w:rsid w:val="00BF5B36"/>
    <w:rsid w:val="00C0192F"/>
    <w:rsid w:val="00C01D52"/>
    <w:rsid w:val="00C020A0"/>
    <w:rsid w:val="00C03EE7"/>
    <w:rsid w:val="00C06D8A"/>
    <w:rsid w:val="00C07D1F"/>
    <w:rsid w:val="00C11092"/>
    <w:rsid w:val="00C11375"/>
    <w:rsid w:val="00C11A94"/>
    <w:rsid w:val="00C12F2A"/>
    <w:rsid w:val="00C12F53"/>
    <w:rsid w:val="00C15921"/>
    <w:rsid w:val="00C16FAD"/>
    <w:rsid w:val="00C201B9"/>
    <w:rsid w:val="00C21405"/>
    <w:rsid w:val="00C2525F"/>
    <w:rsid w:val="00C27873"/>
    <w:rsid w:val="00C27888"/>
    <w:rsid w:val="00C30331"/>
    <w:rsid w:val="00C332FE"/>
    <w:rsid w:val="00C3456F"/>
    <w:rsid w:val="00C34721"/>
    <w:rsid w:val="00C34825"/>
    <w:rsid w:val="00C35013"/>
    <w:rsid w:val="00C35E90"/>
    <w:rsid w:val="00C361C3"/>
    <w:rsid w:val="00C36B55"/>
    <w:rsid w:val="00C43709"/>
    <w:rsid w:val="00C44595"/>
    <w:rsid w:val="00C460EF"/>
    <w:rsid w:val="00C5376E"/>
    <w:rsid w:val="00C53A6D"/>
    <w:rsid w:val="00C545B0"/>
    <w:rsid w:val="00C546CA"/>
    <w:rsid w:val="00C56CA9"/>
    <w:rsid w:val="00C56FD0"/>
    <w:rsid w:val="00C57C16"/>
    <w:rsid w:val="00C63296"/>
    <w:rsid w:val="00C63501"/>
    <w:rsid w:val="00C64009"/>
    <w:rsid w:val="00C65119"/>
    <w:rsid w:val="00C700C6"/>
    <w:rsid w:val="00C70DFB"/>
    <w:rsid w:val="00C74183"/>
    <w:rsid w:val="00C74CDA"/>
    <w:rsid w:val="00C75F2D"/>
    <w:rsid w:val="00C7732C"/>
    <w:rsid w:val="00C778D1"/>
    <w:rsid w:val="00C77D33"/>
    <w:rsid w:val="00C80153"/>
    <w:rsid w:val="00C82530"/>
    <w:rsid w:val="00C82EA6"/>
    <w:rsid w:val="00C836DF"/>
    <w:rsid w:val="00C838EC"/>
    <w:rsid w:val="00C84D5D"/>
    <w:rsid w:val="00C863E3"/>
    <w:rsid w:val="00C87657"/>
    <w:rsid w:val="00C87A41"/>
    <w:rsid w:val="00C9072D"/>
    <w:rsid w:val="00CA1AEE"/>
    <w:rsid w:val="00CA2344"/>
    <w:rsid w:val="00CA23DC"/>
    <w:rsid w:val="00CA242D"/>
    <w:rsid w:val="00CA31B8"/>
    <w:rsid w:val="00CA67D0"/>
    <w:rsid w:val="00CA7C27"/>
    <w:rsid w:val="00CB2BFD"/>
    <w:rsid w:val="00CB5A9E"/>
    <w:rsid w:val="00CB68BA"/>
    <w:rsid w:val="00CB6A62"/>
    <w:rsid w:val="00CB6BDD"/>
    <w:rsid w:val="00CC03C2"/>
    <w:rsid w:val="00CC1A94"/>
    <w:rsid w:val="00CC205C"/>
    <w:rsid w:val="00CC2809"/>
    <w:rsid w:val="00CC409F"/>
    <w:rsid w:val="00CC46AE"/>
    <w:rsid w:val="00CC7289"/>
    <w:rsid w:val="00CC767B"/>
    <w:rsid w:val="00CD5D16"/>
    <w:rsid w:val="00CD68CE"/>
    <w:rsid w:val="00CE0A64"/>
    <w:rsid w:val="00CE0E28"/>
    <w:rsid w:val="00CE0EBA"/>
    <w:rsid w:val="00CE101E"/>
    <w:rsid w:val="00CE2074"/>
    <w:rsid w:val="00CE2639"/>
    <w:rsid w:val="00CE5435"/>
    <w:rsid w:val="00CE626F"/>
    <w:rsid w:val="00CE6320"/>
    <w:rsid w:val="00CE6415"/>
    <w:rsid w:val="00CE7759"/>
    <w:rsid w:val="00CF091B"/>
    <w:rsid w:val="00CF1898"/>
    <w:rsid w:val="00CF1986"/>
    <w:rsid w:val="00CF24AC"/>
    <w:rsid w:val="00CF28DE"/>
    <w:rsid w:val="00CF6B09"/>
    <w:rsid w:val="00D024FD"/>
    <w:rsid w:val="00D02D1C"/>
    <w:rsid w:val="00D116B8"/>
    <w:rsid w:val="00D12815"/>
    <w:rsid w:val="00D12C01"/>
    <w:rsid w:val="00D131D5"/>
    <w:rsid w:val="00D13852"/>
    <w:rsid w:val="00D16B53"/>
    <w:rsid w:val="00D17C4F"/>
    <w:rsid w:val="00D2019F"/>
    <w:rsid w:val="00D201D6"/>
    <w:rsid w:val="00D23074"/>
    <w:rsid w:val="00D23821"/>
    <w:rsid w:val="00D263A2"/>
    <w:rsid w:val="00D30510"/>
    <w:rsid w:val="00D30FAD"/>
    <w:rsid w:val="00D31166"/>
    <w:rsid w:val="00D32A1B"/>
    <w:rsid w:val="00D32B6E"/>
    <w:rsid w:val="00D3653E"/>
    <w:rsid w:val="00D37752"/>
    <w:rsid w:val="00D400F5"/>
    <w:rsid w:val="00D417A8"/>
    <w:rsid w:val="00D4188F"/>
    <w:rsid w:val="00D43726"/>
    <w:rsid w:val="00D45B9F"/>
    <w:rsid w:val="00D45D02"/>
    <w:rsid w:val="00D51089"/>
    <w:rsid w:val="00D51B92"/>
    <w:rsid w:val="00D53EEC"/>
    <w:rsid w:val="00D55084"/>
    <w:rsid w:val="00D55706"/>
    <w:rsid w:val="00D5691B"/>
    <w:rsid w:val="00D574A4"/>
    <w:rsid w:val="00D62753"/>
    <w:rsid w:val="00D63698"/>
    <w:rsid w:val="00D63ED3"/>
    <w:rsid w:val="00D640FD"/>
    <w:rsid w:val="00D6645E"/>
    <w:rsid w:val="00D721E9"/>
    <w:rsid w:val="00D75950"/>
    <w:rsid w:val="00D760CE"/>
    <w:rsid w:val="00D826B4"/>
    <w:rsid w:val="00D83325"/>
    <w:rsid w:val="00D838A0"/>
    <w:rsid w:val="00D84E56"/>
    <w:rsid w:val="00D869DA"/>
    <w:rsid w:val="00D8795F"/>
    <w:rsid w:val="00D924D5"/>
    <w:rsid w:val="00D94218"/>
    <w:rsid w:val="00D94444"/>
    <w:rsid w:val="00D9603B"/>
    <w:rsid w:val="00D96F5E"/>
    <w:rsid w:val="00DA3240"/>
    <w:rsid w:val="00DA3635"/>
    <w:rsid w:val="00DA5C40"/>
    <w:rsid w:val="00DA63BE"/>
    <w:rsid w:val="00DA74B8"/>
    <w:rsid w:val="00DB4AF9"/>
    <w:rsid w:val="00DB4BA9"/>
    <w:rsid w:val="00DB5B1B"/>
    <w:rsid w:val="00DB60E4"/>
    <w:rsid w:val="00DB7AB8"/>
    <w:rsid w:val="00DC4BEF"/>
    <w:rsid w:val="00DC6273"/>
    <w:rsid w:val="00DC6485"/>
    <w:rsid w:val="00DC72C8"/>
    <w:rsid w:val="00DC7EE1"/>
    <w:rsid w:val="00DC7FA3"/>
    <w:rsid w:val="00DD0E75"/>
    <w:rsid w:val="00DD2076"/>
    <w:rsid w:val="00DD285B"/>
    <w:rsid w:val="00DD4E8D"/>
    <w:rsid w:val="00DD5F5F"/>
    <w:rsid w:val="00DD71CA"/>
    <w:rsid w:val="00DD76F6"/>
    <w:rsid w:val="00DE1053"/>
    <w:rsid w:val="00DE1C5D"/>
    <w:rsid w:val="00DE2DB7"/>
    <w:rsid w:val="00DE30B1"/>
    <w:rsid w:val="00DE4054"/>
    <w:rsid w:val="00DE55C2"/>
    <w:rsid w:val="00DE6292"/>
    <w:rsid w:val="00DE6E70"/>
    <w:rsid w:val="00DE7530"/>
    <w:rsid w:val="00DE7BB1"/>
    <w:rsid w:val="00DE7C73"/>
    <w:rsid w:val="00DF0566"/>
    <w:rsid w:val="00DF18DE"/>
    <w:rsid w:val="00DF3EE9"/>
    <w:rsid w:val="00E0318D"/>
    <w:rsid w:val="00E040FF"/>
    <w:rsid w:val="00E0419C"/>
    <w:rsid w:val="00E0441A"/>
    <w:rsid w:val="00E04F02"/>
    <w:rsid w:val="00E05761"/>
    <w:rsid w:val="00E10FCC"/>
    <w:rsid w:val="00E140A9"/>
    <w:rsid w:val="00E14B9D"/>
    <w:rsid w:val="00E171A1"/>
    <w:rsid w:val="00E175F7"/>
    <w:rsid w:val="00E1765E"/>
    <w:rsid w:val="00E21488"/>
    <w:rsid w:val="00E2335D"/>
    <w:rsid w:val="00E237FC"/>
    <w:rsid w:val="00E23ADE"/>
    <w:rsid w:val="00E263B2"/>
    <w:rsid w:val="00E27BEB"/>
    <w:rsid w:val="00E30634"/>
    <w:rsid w:val="00E31562"/>
    <w:rsid w:val="00E31801"/>
    <w:rsid w:val="00E32823"/>
    <w:rsid w:val="00E329A5"/>
    <w:rsid w:val="00E32CE5"/>
    <w:rsid w:val="00E33916"/>
    <w:rsid w:val="00E35703"/>
    <w:rsid w:val="00E37D15"/>
    <w:rsid w:val="00E5207B"/>
    <w:rsid w:val="00E54592"/>
    <w:rsid w:val="00E55495"/>
    <w:rsid w:val="00E5755F"/>
    <w:rsid w:val="00E57A03"/>
    <w:rsid w:val="00E612E3"/>
    <w:rsid w:val="00E61832"/>
    <w:rsid w:val="00E63100"/>
    <w:rsid w:val="00E63D5F"/>
    <w:rsid w:val="00E64B92"/>
    <w:rsid w:val="00E67BFA"/>
    <w:rsid w:val="00E70AA9"/>
    <w:rsid w:val="00E70EF4"/>
    <w:rsid w:val="00E710B8"/>
    <w:rsid w:val="00E72110"/>
    <w:rsid w:val="00E724A7"/>
    <w:rsid w:val="00E724E8"/>
    <w:rsid w:val="00E72A85"/>
    <w:rsid w:val="00E72DBC"/>
    <w:rsid w:val="00E7565A"/>
    <w:rsid w:val="00E75BCE"/>
    <w:rsid w:val="00E76879"/>
    <w:rsid w:val="00E77968"/>
    <w:rsid w:val="00E77CF2"/>
    <w:rsid w:val="00E81386"/>
    <w:rsid w:val="00E81A60"/>
    <w:rsid w:val="00E84C22"/>
    <w:rsid w:val="00E85219"/>
    <w:rsid w:val="00E87D39"/>
    <w:rsid w:val="00E91D9D"/>
    <w:rsid w:val="00E91F96"/>
    <w:rsid w:val="00E92FC5"/>
    <w:rsid w:val="00E93CB2"/>
    <w:rsid w:val="00E96464"/>
    <w:rsid w:val="00E96947"/>
    <w:rsid w:val="00E96A28"/>
    <w:rsid w:val="00EA0734"/>
    <w:rsid w:val="00EA247E"/>
    <w:rsid w:val="00EA3CEA"/>
    <w:rsid w:val="00EA7624"/>
    <w:rsid w:val="00EB000A"/>
    <w:rsid w:val="00EB11E8"/>
    <w:rsid w:val="00EB1BBB"/>
    <w:rsid w:val="00EB2020"/>
    <w:rsid w:val="00EB28B9"/>
    <w:rsid w:val="00EB3C93"/>
    <w:rsid w:val="00EB4A8B"/>
    <w:rsid w:val="00EB67E8"/>
    <w:rsid w:val="00EB6C0D"/>
    <w:rsid w:val="00EB7298"/>
    <w:rsid w:val="00EB7655"/>
    <w:rsid w:val="00EB7A99"/>
    <w:rsid w:val="00EC2154"/>
    <w:rsid w:val="00EC44A8"/>
    <w:rsid w:val="00EC614E"/>
    <w:rsid w:val="00EC6D32"/>
    <w:rsid w:val="00ED0F60"/>
    <w:rsid w:val="00ED10AD"/>
    <w:rsid w:val="00ED2338"/>
    <w:rsid w:val="00ED2F42"/>
    <w:rsid w:val="00ED4EC7"/>
    <w:rsid w:val="00ED5E13"/>
    <w:rsid w:val="00ED6F8F"/>
    <w:rsid w:val="00ED78E6"/>
    <w:rsid w:val="00ED7C8C"/>
    <w:rsid w:val="00EE1EC1"/>
    <w:rsid w:val="00EE2247"/>
    <w:rsid w:val="00EE2CEA"/>
    <w:rsid w:val="00EE5A85"/>
    <w:rsid w:val="00EE64B7"/>
    <w:rsid w:val="00EE6536"/>
    <w:rsid w:val="00EF2826"/>
    <w:rsid w:val="00EF328C"/>
    <w:rsid w:val="00EF3E7B"/>
    <w:rsid w:val="00EF4334"/>
    <w:rsid w:val="00EF514A"/>
    <w:rsid w:val="00EF595F"/>
    <w:rsid w:val="00EF606C"/>
    <w:rsid w:val="00EF6C9B"/>
    <w:rsid w:val="00F02DA4"/>
    <w:rsid w:val="00F04356"/>
    <w:rsid w:val="00F045FC"/>
    <w:rsid w:val="00F057A4"/>
    <w:rsid w:val="00F074B3"/>
    <w:rsid w:val="00F077C3"/>
    <w:rsid w:val="00F10BDE"/>
    <w:rsid w:val="00F1418D"/>
    <w:rsid w:val="00F1491A"/>
    <w:rsid w:val="00F15137"/>
    <w:rsid w:val="00F17377"/>
    <w:rsid w:val="00F22B1C"/>
    <w:rsid w:val="00F231EA"/>
    <w:rsid w:val="00F23EB1"/>
    <w:rsid w:val="00F24D33"/>
    <w:rsid w:val="00F25756"/>
    <w:rsid w:val="00F25922"/>
    <w:rsid w:val="00F2620B"/>
    <w:rsid w:val="00F263E0"/>
    <w:rsid w:val="00F30A65"/>
    <w:rsid w:val="00F31714"/>
    <w:rsid w:val="00F37578"/>
    <w:rsid w:val="00F42845"/>
    <w:rsid w:val="00F47E8A"/>
    <w:rsid w:val="00F52BC9"/>
    <w:rsid w:val="00F545F4"/>
    <w:rsid w:val="00F56201"/>
    <w:rsid w:val="00F56938"/>
    <w:rsid w:val="00F57DBA"/>
    <w:rsid w:val="00F57DE9"/>
    <w:rsid w:val="00F61578"/>
    <w:rsid w:val="00F63D12"/>
    <w:rsid w:val="00F64DAE"/>
    <w:rsid w:val="00F6598F"/>
    <w:rsid w:val="00F668D4"/>
    <w:rsid w:val="00F67230"/>
    <w:rsid w:val="00F676D5"/>
    <w:rsid w:val="00F67F60"/>
    <w:rsid w:val="00F72F60"/>
    <w:rsid w:val="00F73065"/>
    <w:rsid w:val="00F83D13"/>
    <w:rsid w:val="00F845D6"/>
    <w:rsid w:val="00F85C81"/>
    <w:rsid w:val="00F86229"/>
    <w:rsid w:val="00F870B9"/>
    <w:rsid w:val="00F91C77"/>
    <w:rsid w:val="00F9429A"/>
    <w:rsid w:val="00F945A2"/>
    <w:rsid w:val="00F94E32"/>
    <w:rsid w:val="00F95CBC"/>
    <w:rsid w:val="00F9665E"/>
    <w:rsid w:val="00F969A2"/>
    <w:rsid w:val="00FA30B6"/>
    <w:rsid w:val="00FA4415"/>
    <w:rsid w:val="00FA450D"/>
    <w:rsid w:val="00FA6AFD"/>
    <w:rsid w:val="00FA6D09"/>
    <w:rsid w:val="00FA7FE6"/>
    <w:rsid w:val="00FB0327"/>
    <w:rsid w:val="00FB1190"/>
    <w:rsid w:val="00FB1BAE"/>
    <w:rsid w:val="00FB1EE0"/>
    <w:rsid w:val="00FB2064"/>
    <w:rsid w:val="00FB31C0"/>
    <w:rsid w:val="00FB375A"/>
    <w:rsid w:val="00FB4CB8"/>
    <w:rsid w:val="00FB5DA7"/>
    <w:rsid w:val="00FB5F73"/>
    <w:rsid w:val="00FC0A23"/>
    <w:rsid w:val="00FC25AF"/>
    <w:rsid w:val="00FC2B86"/>
    <w:rsid w:val="00FC32B4"/>
    <w:rsid w:val="00FC33A9"/>
    <w:rsid w:val="00FC33C3"/>
    <w:rsid w:val="00FC471E"/>
    <w:rsid w:val="00FC54C0"/>
    <w:rsid w:val="00FC5BBE"/>
    <w:rsid w:val="00FC639B"/>
    <w:rsid w:val="00FC665A"/>
    <w:rsid w:val="00FC6D6D"/>
    <w:rsid w:val="00FC7F67"/>
    <w:rsid w:val="00FD0B54"/>
    <w:rsid w:val="00FD0D78"/>
    <w:rsid w:val="00FD1314"/>
    <w:rsid w:val="00FD1A66"/>
    <w:rsid w:val="00FD1B71"/>
    <w:rsid w:val="00FD2885"/>
    <w:rsid w:val="00FD2F86"/>
    <w:rsid w:val="00FD2F8B"/>
    <w:rsid w:val="00FD3B7A"/>
    <w:rsid w:val="00FD54D1"/>
    <w:rsid w:val="00FD56A0"/>
    <w:rsid w:val="00FD6EBD"/>
    <w:rsid w:val="00FD7227"/>
    <w:rsid w:val="00FE139B"/>
    <w:rsid w:val="00FE2F5B"/>
    <w:rsid w:val="00FF3B72"/>
    <w:rsid w:val="00FF7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9346BCA5-1386-4013-A5E8-9CAB191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D2338"/>
    <w:pPr>
      <w:spacing w:after="0" w:line="240" w:lineRule="auto"/>
    </w:pPr>
    <w:rPr>
      <w:rFonts w:ascii="Times New Roman" w:hAnsi="Times New Roman"/>
      <w:noProof/>
    </w:rPr>
  </w:style>
  <w:style w:type="paragraph" w:styleId="Heading1">
    <w:name w:val="heading 1"/>
    <w:basedOn w:val="Normal"/>
    <w:link w:val="Heading1Char"/>
    <w:uiPriority w:val="9"/>
    <w:rsid w:val="00ED2338"/>
    <w:pPr>
      <w:ind w:left="871"/>
      <w:outlineLvl w:val="0"/>
    </w:pPr>
    <w:rPr>
      <w:rFonts w:eastAsia="Times New Roman"/>
      <w:b/>
      <w:bCs/>
    </w:rPr>
  </w:style>
  <w:style w:type="paragraph" w:styleId="Heading2">
    <w:name w:val="heading 2"/>
    <w:basedOn w:val="Normal"/>
    <w:next w:val="Normal"/>
    <w:link w:val="Heading2Char"/>
    <w:uiPriority w:val="1"/>
    <w:unhideWhenUsed/>
    <w:qFormat/>
    <w:rsid w:val="00B81E88"/>
    <w:pPr>
      <w:keepNext/>
      <w:keepLines/>
      <w:widowControl w:val="0"/>
      <w:autoSpaceDE w:val="0"/>
      <w:autoSpaceDN w:val="0"/>
      <w:spacing w:before="200"/>
      <w:outlineLvl w:val="1"/>
    </w:pPr>
    <w:rPr>
      <w:rFonts w:eastAsiaTheme="majorEastAsia" w:cstheme="majorBidi"/>
      <w:b/>
      <w:bCs/>
      <w:noProof w:val="0"/>
      <w:color w:val="000000" w:themeColor="text2" w:themeShade="80"/>
      <w:szCs w:val="26"/>
      <w:lang w:val="en-US" w:eastAsia="en-US"/>
    </w:rPr>
  </w:style>
  <w:style w:type="character" w:default="1" w:styleId="DefaultParagraphFont">
    <w:name w:val="Default Paragraph Font"/>
    <w:uiPriority w:val="1"/>
    <w:unhideWhenUsed/>
    <w:rsid w:val="00ED23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338"/>
  </w:style>
  <w:style w:type="paragraph" w:styleId="Footer">
    <w:name w:val="footer"/>
    <w:basedOn w:val="Normal"/>
    <w:link w:val="FooterChar"/>
    <w:uiPriority w:val="99"/>
    <w:unhideWhenUsed/>
    <w:rsid w:val="00ED2338"/>
    <w:pPr>
      <w:tabs>
        <w:tab w:val="center" w:pos="4513"/>
        <w:tab w:val="right" w:pos="9026"/>
      </w:tabs>
    </w:pPr>
  </w:style>
  <w:style w:type="character" w:customStyle="1" w:styleId="FooterChar">
    <w:name w:val="Footer Char"/>
    <w:basedOn w:val="DefaultParagraphFont"/>
    <w:link w:val="Footer"/>
    <w:uiPriority w:val="99"/>
    <w:rsid w:val="00ED2338"/>
    <w:rPr>
      <w:rFonts w:ascii="Times New Roman" w:hAnsi="Times New Roman"/>
      <w:noProof/>
    </w:rPr>
  </w:style>
  <w:style w:type="paragraph" w:styleId="Header">
    <w:name w:val="header"/>
    <w:basedOn w:val="Normal"/>
    <w:link w:val="HeaderChar"/>
    <w:uiPriority w:val="99"/>
    <w:unhideWhenUsed/>
    <w:rsid w:val="00ED2338"/>
    <w:pPr>
      <w:tabs>
        <w:tab w:val="center" w:pos="4513"/>
        <w:tab w:val="right" w:pos="9026"/>
      </w:tabs>
    </w:pPr>
  </w:style>
  <w:style w:type="character" w:customStyle="1" w:styleId="HeaderChar">
    <w:name w:val="Header Char"/>
    <w:basedOn w:val="DefaultParagraphFont"/>
    <w:link w:val="Header"/>
    <w:uiPriority w:val="99"/>
    <w:rsid w:val="00ED2338"/>
    <w:rPr>
      <w:rFonts w:ascii="Times New Roman" w:hAnsi="Times New Roman"/>
      <w:noProof/>
    </w:rPr>
  </w:style>
  <w:style w:type="paragraph" w:styleId="BalloonText">
    <w:name w:val="Balloon Text"/>
    <w:basedOn w:val="Normal"/>
    <w:link w:val="BalloonTextChar"/>
    <w:uiPriority w:val="99"/>
    <w:semiHidden/>
    <w:unhideWhenUsed/>
    <w:rsid w:val="00ED2338"/>
    <w:rPr>
      <w:rFonts w:ascii="Tahoma" w:hAnsi="Tahoma" w:cs="Tahoma"/>
      <w:sz w:val="16"/>
      <w:szCs w:val="16"/>
    </w:rPr>
  </w:style>
  <w:style w:type="character" w:customStyle="1" w:styleId="BalloonTextChar">
    <w:name w:val="Balloon Text Char"/>
    <w:basedOn w:val="DefaultParagraphFont"/>
    <w:link w:val="BalloonText"/>
    <w:uiPriority w:val="99"/>
    <w:semiHidden/>
    <w:rsid w:val="00ED2338"/>
    <w:rPr>
      <w:rFonts w:ascii="Tahoma" w:hAnsi="Tahoma" w:cs="Tahoma"/>
      <w:noProof/>
      <w:sz w:val="16"/>
      <w:szCs w:val="16"/>
    </w:rPr>
  </w:style>
  <w:style w:type="paragraph" w:customStyle="1" w:styleId="REG-H3A">
    <w:name w:val="REG-H3A"/>
    <w:link w:val="REG-H3AChar"/>
    <w:rsid w:val="00ED233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D2338"/>
    <w:pPr>
      <w:numPr>
        <w:numId w:val="1"/>
      </w:numPr>
      <w:contextualSpacing/>
    </w:pPr>
  </w:style>
  <w:style w:type="character" w:customStyle="1" w:styleId="REG-H3AChar">
    <w:name w:val="REG-H3A Char"/>
    <w:basedOn w:val="DefaultParagraphFont"/>
    <w:link w:val="REG-H3A"/>
    <w:rsid w:val="00ED2338"/>
    <w:rPr>
      <w:rFonts w:ascii="Times New Roman" w:hAnsi="Times New Roman" w:cs="Times New Roman"/>
      <w:b/>
      <w:caps/>
      <w:noProof/>
    </w:rPr>
  </w:style>
  <w:style w:type="character" w:customStyle="1" w:styleId="A3">
    <w:name w:val="A3"/>
    <w:uiPriority w:val="99"/>
    <w:rsid w:val="00ED2338"/>
    <w:rPr>
      <w:rFonts w:cs="Times"/>
      <w:color w:val="000000"/>
      <w:sz w:val="22"/>
      <w:szCs w:val="22"/>
    </w:rPr>
  </w:style>
  <w:style w:type="paragraph" w:customStyle="1" w:styleId="Head2B">
    <w:name w:val="Head 2B"/>
    <w:basedOn w:val="AS-H3A"/>
    <w:link w:val="Head2BChar"/>
    <w:rsid w:val="00ED2338"/>
  </w:style>
  <w:style w:type="paragraph" w:styleId="ListParagraph">
    <w:name w:val="List Paragraph"/>
    <w:basedOn w:val="Normal"/>
    <w:link w:val="ListParagraphChar"/>
    <w:uiPriority w:val="34"/>
    <w:rsid w:val="00ED2338"/>
    <w:pPr>
      <w:ind w:left="720"/>
      <w:contextualSpacing/>
    </w:pPr>
  </w:style>
  <w:style w:type="character" w:customStyle="1" w:styleId="Head2BChar">
    <w:name w:val="Head 2B Char"/>
    <w:basedOn w:val="AS-H3AChar"/>
    <w:link w:val="Head2B"/>
    <w:rsid w:val="00ED2338"/>
    <w:rPr>
      <w:rFonts w:ascii="Times New Roman" w:hAnsi="Times New Roman" w:cs="Times New Roman"/>
      <w:b/>
      <w:caps/>
      <w:noProof/>
    </w:rPr>
  </w:style>
  <w:style w:type="paragraph" w:customStyle="1" w:styleId="Head3">
    <w:name w:val="Head 3"/>
    <w:basedOn w:val="ListParagraph"/>
    <w:link w:val="Head3Char"/>
    <w:rsid w:val="00ED233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D2338"/>
    <w:rPr>
      <w:rFonts w:ascii="Times New Roman" w:hAnsi="Times New Roman"/>
      <w:noProof/>
    </w:rPr>
  </w:style>
  <w:style w:type="character" w:customStyle="1" w:styleId="Head3Char">
    <w:name w:val="Head 3 Char"/>
    <w:basedOn w:val="ListParagraphChar"/>
    <w:link w:val="Head3"/>
    <w:rsid w:val="00ED2338"/>
    <w:rPr>
      <w:rFonts w:ascii="Times New Roman" w:eastAsia="Times New Roman" w:hAnsi="Times New Roman" w:cs="Times New Roman"/>
      <w:b/>
      <w:bCs/>
      <w:noProof/>
    </w:rPr>
  </w:style>
  <w:style w:type="paragraph" w:customStyle="1" w:styleId="REG-H1a">
    <w:name w:val="REG-H1a"/>
    <w:link w:val="REG-H1aChar"/>
    <w:qFormat/>
    <w:rsid w:val="00ED233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ED233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D2338"/>
    <w:rPr>
      <w:rFonts w:ascii="Arial" w:hAnsi="Arial" w:cs="Arial"/>
      <w:b/>
      <w:noProof/>
      <w:sz w:val="36"/>
      <w:szCs w:val="36"/>
    </w:rPr>
  </w:style>
  <w:style w:type="paragraph" w:customStyle="1" w:styleId="AS-H1-Colour">
    <w:name w:val="AS-H1-Colour"/>
    <w:basedOn w:val="Normal"/>
    <w:link w:val="AS-H1-ColourChar"/>
    <w:rsid w:val="00ED233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D2338"/>
    <w:rPr>
      <w:rFonts w:ascii="Times New Roman" w:hAnsi="Times New Roman" w:cs="Times New Roman"/>
      <w:b/>
      <w:caps/>
      <w:noProof/>
      <w:color w:val="00B050"/>
      <w:sz w:val="24"/>
      <w:szCs w:val="24"/>
    </w:rPr>
  </w:style>
  <w:style w:type="paragraph" w:customStyle="1" w:styleId="AS-H2b">
    <w:name w:val="AS-H2b"/>
    <w:basedOn w:val="Normal"/>
    <w:link w:val="AS-H2bChar"/>
    <w:rsid w:val="00ED233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D2338"/>
    <w:rPr>
      <w:rFonts w:ascii="Arial" w:hAnsi="Arial" w:cs="Arial"/>
      <w:b/>
      <w:noProof/>
      <w:color w:val="00B050"/>
      <w:sz w:val="36"/>
      <w:szCs w:val="36"/>
    </w:rPr>
  </w:style>
  <w:style w:type="paragraph" w:customStyle="1" w:styleId="AS-H3">
    <w:name w:val="AS-H3"/>
    <w:basedOn w:val="AS-H3A"/>
    <w:link w:val="AS-H3Char"/>
    <w:rsid w:val="00ED2338"/>
    <w:rPr>
      <w:sz w:val="28"/>
    </w:rPr>
  </w:style>
  <w:style w:type="character" w:customStyle="1" w:styleId="AS-H2bChar">
    <w:name w:val="AS-H2b Char"/>
    <w:basedOn w:val="DefaultParagraphFont"/>
    <w:link w:val="AS-H2b"/>
    <w:rsid w:val="00ED2338"/>
    <w:rPr>
      <w:rFonts w:ascii="Arial" w:hAnsi="Arial" w:cs="Arial"/>
      <w:noProof/>
    </w:rPr>
  </w:style>
  <w:style w:type="paragraph" w:customStyle="1" w:styleId="REG-H3b">
    <w:name w:val="REG-H3b"/>
    <w:link w:val="REG-H3bChar"/>
    <w:rsid w:val="00ED233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D2338"/>
    <w:rPr>
      <w:rFonts w:ascii="Times New Roman" w:hAnsi="Times New Roman" w:cs="Times New Roman"/>
      <w:b/>
      <w:caps/>
      <w:noProof/>
      <w:sz w:val="28"/>
    </w:rPr>
  </w:style>
  <w:style w:type="paragraph" w:customStyle="1" w:styleId="AS-H3c">
    <w:name w:val="AS-H3c"/>
    <w:basedOn w:val="Head2B"/>
    <w:link w:val="AS-H3cChar"/>
    <w:rsid w:val="00ED2338"/>
    <w:rPr>
      <w:b w:val="0"/>
    </w:rPr>
  </w:style>
  <w:style w:type="character" w:customStyle="1" w:styleId="REG-H3bChar">
    <w:name w:val="REG-H3b Char"/>
    <w:basedOn w:val="REG-H3AChar"/>
    <w:link w:val="REG-H3b"/>
    <w:rsid w:val="00ED2338"/>
    <w:rPr>
      <w:rFonts w:ascii="Times New Roman" w:hAnsi="Times New Roman" w:cs="Times New Roman"/>
      <w:b w:val="0"/>
      <w:caps w:val="0"/>
      <w:noProof/>
    </w:rPr>
  </w:style>
  <w:style w:type="paragraph" w:customStyle="1" w:styleId="AS-H3d">
    <w:name w:val="AS-H3d"/>
    <w:basedOn w:val="Head2B"/>
    <w:link w:val="AS-H3dChar"/>
    <w:rsid w:val="00ED2338"/>
  </w:style>
  <w:style w:type="character" w:customStyle="1" w:styleId="AS-H3cChar">
    <w:name w:val="AS-H3c Char"/>
    <w:basedOn w:val="Head2BChar"/>
    <w:link w:val="AS-H3c"/>
    <w:rsid w:val="00ED2338"/>
    <w:rPr>
      <w:rFonts w:ascii="Times New Roman" w:hAnsi="Times New Roman" w:cs="Times New Roman"/>
      <w:b w:val="0"/>
      <w:caps/>
      <w:noProof/>
    </w:rPr>
  </w:style>
  <w:style w:type="paragraph" w:customStyle="1" w:styleId="REG-P0">
    <w:name w:val="REG-P(0)"/>
    <w:basedOn w:val="Normal"/>
    <w:link w:val="REG-P0Char"/>
    <w:qFormat/>
    <w:rsid w:val="00ED2338"/>
    <w:pPr>
      <w:tabs>
        <w:tab w:val="left" w:pos="567"/>
      </w:tabs>
      <w:jc w:val="both"/>
    </w:pPr>
    <w:rPr>
      <w:rFonts w:eastAsia="Times New Roman" w:cs="Times New Roman"/>
    </w:rPr>
  </w:style>
  <w:style w:type="character" w:customStyle="1" w:styleId="AS-H3dChar">
    <w:name w:val="AS-H3d Char"/>
    <w:basedOn w:val="Head2BChar"/>
    <w:link w:val="AS-H3d"/>
    <w:rsid w:val="00ED2338"/>
    <w:rPr>
      <w:rFonts w:ascii="Times New Roman" w:hAnsi="Times New Roman" w:cs="Times New Roman"/>
      <w:b/>
      <w:caps/>
      <w:noProof/>
    </w:rPr>
  </w:style>
  <w:style w:type="paragraph" w:customStyle="1" w:styleId="REG-P1">
    <w:name w:val="REG-P(1)"/>
    <w:basedOn w:val="Normal"/>
    <w:link w:val="REG-P1Char"/>
    <w:qFormat/>
    <w:rsid w:val="00ED2338"/>
    <w:pPr>
      <w:suppressAutoHyphens/>
      <w:ind w:firstLine="567"/>
      <w:jc w:val="both"/>
    </w:pPr>
    <w:rPr>
      <w:rFonts w:eastAsia="Times New Roman" w:cs="Times New Roman"/>
    </w:rPr>
  </w:style>
  <w:style w:type="character" w:customStyle="1" w:styleId="REG-P0Char">
    <w:name w:val="REG-P(0) Char"/>
    <w:basedOn w:val="DefaultParagraphFont"/>
    <w:link w:val="REG-P0"/>
    <w:rsid w:val="00ED2338"/>
    <w:rPr>
      <w:rFonts w:ascii="Times New Roman" w:eastAsia="Times New Roman" w:hAnsi="Times New Roman" w:cs="Times New Roman"/>
      <w:noProof/>
    </w:rPr>
  </w:style>
  <w:style w:type="paragraph" w:customStyle="1" w:styleId="REG-Pa">
    <w:name w:val="REG-P(a)"/>
    <w:basedOn w:val="Normal"/>
    <w:link w:val="REG-PaChar"/>
    <w:qFormat/>
    <w:rsid w:val="00ED2338"/>
    <w:pPr>
      <w:ind w:left="1134" w:hanging="567"/>
      <w:jc w:val="both"/>
    </w:pPr>
  </w:style>
  <w:style w:type="character" w:customStyle="1" w:styleId="REG-P1Char">
    <w:name w:val="REG-P(1) Char"/>
    <w:basedOn w:val="DefaultParagraphFont"/>
    <w:link w:val="REG-P1"/>
    <w:rsid w:val="00ED2338"/>
    <w:rPr>
      <w:rFonts w:ascii="Times New Roman" w:eastAsia="Times New Roman" w:hAnsi="Times New Roman" w:cs="Times New Roman"/>
      <w:noProof/>
    </w:rPr>
  </w:style>
  <w:style w:type="paragraph" w:customStyle="1" w:styleId="REG-Pi">
    <w:name w:val="REG-P(i)"/>
    <w:basedOn w:val="Normal"/>
    <w:link w:val="REG-PiChar"/>
    <w:qFormat/>
    <w:rsid w:val="00ED2338"/>
    <w:pPr>
      <w:suppressAutoHyphens/>
      <w:ind w:left="1701" w:hanging="567"/>
      <w:jc w:val="both"/>
    </w:pPr>
    <w:rPr>
      <w:rFonts w:eastAsia="Times New Roman" w:cs="Times New Roman"/>
    </w:rPr>
  </w:style>
  <w:style w:type="character" w:customStyle="1" w:styleId="REG-PaChar">
    <w:name w:val="REG-P(a) Char"/>
    <w:basedOn w:val="DefaultParagraphFont"/>
    <w:link w:val="REG-Pa"/>
    <w:rsid w:val="00ED2338"/>
    <w:rPr>
      <w:rFonts w:ascii="Times New Roman" w:hAnsi="Times New Roman"/>
      <w:noProof/>
    </w:rPr>
  </w:style>
  <w:style w:type="paragraph" w:customStyle="1" w:styleId="AS-Pahang">
    <w:name w:val="AS-P(a)hang"/>
    <w:basedOn w:val="Normal"/>
    <w:link w:val="AS-PahangChar"/>
    <w:rsid w:val="00ED233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D2338"/>
    <w:rPr>
      <w:rFonts w:ascii="Times New Roman" w:eastAsia="Times New Roman" w:hAnsi="Times New Roman" w:cs="Times New Roman"/>
      <w:noProof/>
    </w:rPr>
  </w:style>
  <w:style w:type="paragraph" w:customStyle="1" w:styleId="REG-Paa">
    <w:name w:val="REG-P(aa)"/>
    <w:basedOn w:val="Normal"/>
    <w:link w:val="REG-PaaChar"/>
    <w:qFormat/>
    <w:rsid w:val="00ED233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D2338"/>
    <w:rPr>
      <w:rFonts w:ascii="Times New Roman" w:eastAsia="Times New Roman" w:hAnsi="Times New Roman" w:cs="Times New Roman"/>
      <w:noProof/>
    </w:rPr>
  </w:style>
  <w:style w:type="paragraph" w:customStyle="1" w:styleId="REG-Amend">
    <w:name w:val="REG-Amend"/>
    <w:link w:val="REG-AmendChar"/>
    <w:qFormat/>
    <w:rsid w:val="009303E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D2338"/>
    <w:rPr>
      <w:rFonts w:ascii="Times New Roman" w:eastAsia="Times New Roman" w:hAnsi="Times New Roman" w:cs="Times New Roman"/>
      <w:noProof/>
    </w:rPr>
  </w:style>
  <w:style w:type="character" w:customStyle="1" w:styleId="REG-AmendChar">
    <w:name w:val="REG-Amend Char"/>
    <w:basedOn w:val="REG-P0Char"/>
    <w:link w:val="REG-Amend"/>
    <w:rsid w:val="009303E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D2338"/>
    <w:rPr>
      <w:sz w:val="16"/>
      <w:szCs w:val="16"/>
    </w:rPr>
  </w:style>
  <w:style w:type="paragraph" w:styleId="CommentText">
    <w:name w:val="annotation text"/>
    <w:basedOn w:val="Normal"/>
    <w:link w:val="CommentTextChar"/>
    <w:uiPriority w:val="99"/>
    <w:semiHidden/>
    <w:unhideWhenUsed/>
    <w:rsid w:val="00ED2338"/>
    <w:rPr>
      <w:sz w:val="20"/>
      <w:szCs w:val="20"/>
    </w:rPr>
  </w:style>
  <w:style w:type="character" w:customStyle="1" w:styleId="CommentTextChar">
    <w:name w:val="Comment Text Char"/>
    <w:basedOn w:val="DefaultParagraphFont"/>
    <w:link w:val="CommentText"/>
    <w:uiPriority w:val="99"/>
    <w:semiHidden/>
    <w:rsid w:val="00ED233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D2338"/>
    <w:rPr>
      <w:b/>
      <w:bCs/>
    </w:rPr>
  </w:style>
  <w:style w:type="character" w:customStyle="1" w:styleId="CommentSubjectChar">
    <w:name w:val="Comment Subject Char"/>
    <w:basedOn w:val="CommentTextChar"/>
    <w:link w:val="CommentSubject"/>
    <w:uiPriority w:val="99"/>
    <w:semiHidden/>
    <w:rsid w:val="00ED2338"/>
    <w:rPr>
      <w:rFonts w:ascii="Times New Roman" w:hAnsi="Times New Roman"/>
      <w:b/>
      <w:bCs/>
      <w:noProof/>
      <w:sz w:val="20"/>
      <w:szCs w:val="20"/>
    </w:rPr>
  </w:style>
  <w:style w:type="paragraph" w:customStyle="1" w:styleId="AS-H4A">
    <w:name w:val="AS-H4A"/>
    <w:basedOn w:val="AS-P0"/>
    <w:link w:val="AS-H4AChar"/>
    <w:rsid w:val="00ED2338"/>
    <w:pPr>
      <w:tabs>
        <w:tab w:val="clear" w:pos="567"/>
      </w:tabs>
      <w:jc w:val="center"/>
    </w:pPr>
    <w:rPr>
      <w:b/>
      <w:caps/>
    </w:rPr>
  </w:style>
  <w:style w:type="paragraph" w:customStyle="1" w:styleId="AS-H4b">
    <w:name w:val="AS-H4b"/>
    <w:basedOn w:val="AS-P0"/>
    <w:link w:val="AS-H4bChar"/>
    <w:rsid w:val="00ED2338"/>
    <w:pPr>
      <w:tabs>
        <w:tab w:val="clear" w:pos="567"/>
      </w:tabs>
      <w:jc w:val="center"/>
    </w:pPr>
    <w:rPr>
      <w:b/>
    </w:rPr>
  </w:style>
  <w:style w:type="character" w:customStyle="1" w:styleId="AS-H4AChar">
    <w:name w:val="AS-H4A Char"/>
    <w:basedOn w:val="AS-P0Char"/>
    <w:link w:val="AS-H4A"/>
    <w:rsid w:val="00ED2338"/>
    <w:rPr>
      <w:rFonts w:ascii="Times New Roman" w:eastAsia="Times New Roman" w:hAnsi="Times New Roman" w:cs="Times New Roman"/>
      <w:b/>
      <w:caps/>
      <w:noProof/>
    </w:rPr>
  </w:style>
  <w:style w:type="character" w:customStyle="1" w:styleId="AS-H4bChar">
    <w:name w:val="AS-H4b Char"/>
    <w:basedOn w:val="AS-P0Char"/>
    <w:link w:val="AS-H4b"/>
    <w:rsid w:val="00ED2338"/>
    <w:rPr>
      <w:rFonts w:ascii="Times New Roman" w:eastAsia="Times New Roman" w:hAnsi="Times New Roman" w:cs="Times New Roman"/>
      <w:b/>
      <w:noProof/>
    </w:rPr>
  </w:style>
  <w:style w:type="paragraph" w:customStyle="1" w:styleId="AS-H2a">
    <w:name w:val="AS-H2a"/>
    <w:basedOn w:val="Normal"/>
    <w:link w:val="AS-H2aChar"/>
    <w:rsid w:val="00ED233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D2338"/>
    <w:rPr>
      <w:rFonts w:ascii="Arial" w:hAnsi="Arial" w:cs="Arial"/>
      <w:b/>
      <w:noProof/>
    </w:rPr>
  </w:style>
  <w:style w:type="paragraph" w:customStyle="1" w:styleId="REG-H1d">
    <w:name w:val="REG-H1d"/>
    <w:link w:val="REG-H1dChar"/>
    <w:qFormat/>
    <w:rsid w:val="00ED233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D2338"/>
    <w:rPr>
      <w:rFonts w:ascii="Arial" w:hAnsi="Arial" w:cs="Arial"/>
      <w:b w:val="0"/>
      <w:noProof/>
      <w:color w:val="000000"/>
      <w:szCs w:val="24"/>
      <w:lang w:val="en-ZA"/>
    </w:rPr>
  </w:style>
  <w:style w:type="table" w:styleId="TableGrid">
    <w:name w:val="Table Grid"/>
    <w:basedOn w:val="TableNormal"/>
    <w:uiPriority w:val="59"/>
    <w:rsid w:val="00ED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D233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D2338"/>
    <w:rPr>
      <w:rFonts w:ascii="Times New Roman" w:eastAsia="Times New Roman" w:hAnsi="Times New Roman"/>
      <w:noProof/>
      <w:sz w:val="24"/>
      <w:szCs w:val="24"/>
      <w:lang w:val="en-US" w:eastAsia="en-US"/>
    </w:rPr>
  </w:style>
  <w:style w:type="paragraph" w:customStyle="1" w:styleId="AS-P0">
    <w:name w:val="AS-P(0)"/>
    <w:basedOn w:val="Normal"/>
    <w:link w:val="AS-P0Char"/>
    <w:rsid w:val="00ED2338"/>
    <w:pPr>
      <w:tabs>
        <w:tab w:val="left" w:pos="567"/>
      </w:tabs>
      <w:jc w:val="both"/>
    </w:pPr>
    <w:rPr>
      <w:rFonts w:eastAsia="Times New Roman" w:cs="Times New Roman"/>
    </w:rPr>
  </w:style>
  <w:style w:type="character" w:customStyle="1" w:styleId="AS-P0Char">
    <w:name w:val="AS-P(0) Char"/>
    <w:basedOn w:val="DefaultParagraphFont"/>
    <w:link w:val="AS-P0"/>
    <w:rsid w:val="00ED2338"/>
    <w:rPr>
      <w:rFonts w:ascii="Times New Roman" w:eastAsia="Times New Roman" w:hAnsi="Times New Roman" w:cs="Times New Roman"/>
      <w:noProof/>
    </w:rPr>
  </w:style>
  <w:style w:type="paragraph" w:customStyle="1" w:styleId="AS-H3A">
    <w:name w:val="AS-H3A"/>
    <w:basedOn w:val="Normal"/>
    <w:link w:val="AS-H3AChar"/>
    <w:rsid w:val="00ED2338"/>
    <w:pPr>
      <w:autoSpaceDE w:val="0"/>
      <w:autoSpaceDN w:val="0"/>
      <w:adjustRightInd w:val="0"/>
      <w:jc w:val="center"/>
    </w:pPr>
    <w:rPr>
      <w:rFonts w:cs="Times New Roman"/>
      <w:b/>
      <w:caps/>
    </w:rPr>
  </w:style>
  <w:style w:type="character" w:customStyle="1" w:styleId="AS-H3AChar">
    <w:name w:val="AS-H3A Char"/>
    <w:basedOn w:val="DefaultParagraphFont"/>
    <w:link w:val="AS-H3A"/>
    <w:rsid w:val="00ED2338"/>
    <w:rPr>
      <w:rFonts w:ascii="Times New Roman" w:hAnsi="Times New Roman" w:cs="Times New Roman"/>
      <w:b/>
      <w:caps/>
      <w:noProof/>
    </w:rPr>
  </w:style>
  <w:style w:type="paragraph" w:customStyle="1" w:styleId="AS-H1a">
    <w:name w:val="AS-H1a"/>
    <w:basedOn w:val="Normal"/>
    <w:link w:val="AS-H1aChar"/>
    <w:rsid w:val="00ED233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D233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D2338"/>
    <w:rPr>
      <w:rFonts w:ascii="Arial" w:hAnsi="Arial" w:cs="Arial"/>
      <w:b/>
      <w:noProof/>
      <w:sz w:val="36"/>
      <w:szCs w:val="36"/>
    </w:rPr>
  </w:style>
  <w:style w:type="character" w:customStyle="1" w:styleId="AS-H2Char">
    <w:name w:val="AS-H2 Char"/>
    <w:basedOn w:val="DefaultParagraphFont"/>
    <w:link w:val="AS-H2"/>
    <w:rsid w:val="00ED2338"/>
    <w:rPr>
      <w:rFonts w:ascii="Times New Roman" w:hAnsi="Times New Roman" w:cs="Times New Roman"/>
      <w:b/>
      <w:caps/>
      <w:noProof/>
      <w:color w:val="000000"/>
      <w:sz w:val="26"/>
    </w:rPr>
  </w:style>
  <w:style w:type="paragraph" w:customStyle="1" w:styleId="AS-H3b">
    <w:name w:val="AS-H3b"/>
    <w:basedOn w:val="Normal"/>
    <w:link w:val="AS-H3bChar"/>
    <w:autoRedefine/>
    <w:rsid w:val="00ED2338"/>
    <w:pPr>
      <w:jc w:val="center"/>
    </w:pPr>
    <w:rPr>
      <w:rFonts w:cs="Times New Roman"/>
      <w:b/>
    </w:rPr>
  </w:style>
  <w:style w:type="character" w:customStyle="1" w:styleId="AS-H3bChar">
    <w:name w:val="AS-H3b Char"/>
    <w:basedOn w:val="AS-H3AChar"/>
    <w:link w:val="AS-H3b"/>
    <w:rsid w:val="00ED2338"/>
    <w:rPr>
      <w:rFonts w:ascii="Times New Roman" w:hAnsi="Times New Roman" w:cs="Times New Roman"/>
      <w:b/>
      <w:caps w:val="0"/>
      <w:noProof/>
    </w:rPr>
  </w:style>
  <w:style w:type="paragraph" w:customStyle="1" w:styleId="AS-P1">
    <w:name w:val="AS-P(1)"/>
    <w:basedOn w:val="Normal"/>
    <w:link w:val="AS-P1Char"/>
    <w:rsid w:val="00ED2338"/>
    <w:pPr>
      <w:suppressAutoHyphens/>
      <w:ind w:right="-7" w:firstLine="567"/>
      <w:jc w:val="both"/>
    </w:pPr>
    <w:rPr>
      <w:rFonts w:eastAsia="Times New Roman" w:cs="Times New Roman"/>
    </w:rPr>
  </w:style>
  <w:style w:type="paragraph" w:customStyle="1" w:styleId="AS-Pa">
    <w:name w:val="AS-P(a)"/>
    <w:basedOn w:val="AS-Pahang"/>
    <w:link w:val="AS-PaChar"/>
    <w:rsid w:val="00ED2338"/>
  </w:style>
  <w:style w:type="character" w:customStyle="1" w:styleId="AS-P1Char">
    <w:name w:val="AS-P(1) Char"/>
    <w:basedOn w:val="DefaultParagraphFont"/>
    <w:link w:val="AS-P1"/>
    <w:rsid w:val="00ED2338"/>
    <w:rPr>
      <w:rFonts w:ascii="Times New Roman" w:eastAsia="Times New Roman" w:hAnsi="Times New Roman" w:cs="Times New Roman"/>
      <w:noProof/>
    </w:rPr>
  </w:style>
  <w:style w:type="paragraph" w:customStyle="1" w:styleId="AS-Pi">
    <w:name w:val="AS-P(i)"/>
    <w:basedOn w:val="Normal"/>
    <w:link w:val="AS-PiChar"/>
    <w:rsid w:val="00ED233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D2338"/>
    <w:rPr>
      <w:rFonts w:ascii="Times New Roman" w:eastAsia="Times New Roman" w:hAnsi="Times New Roman" w:cs="Times New Roman"/>
      <w:noProof/>
    </w:rPr>
  </w:style>
  <w:style w:type="character" w:customStyle="1" w:styleId="AS-PiChar">
    <w:name w:val="AS-P(i) Char"/>
    <w:basedOn w:val="DefaultParagraphFont"/>
    <w:link w:val="AS-Pi"/>
    <w:rsid w:val="00ED2338"/>
    <w:rPr>
      <w:rFonts w:ascii="Times New Roman" w:eastAsia="Times New Roman" w:hAnsi="Times New Roman" w:cs="Times New Roman"/>
      <w:noProof/>
    </w:rPr>
  </w:style>
  <w:style w:type="paragraph" w:customStyle="1" w:styleId="AS-Paa">
    <w:name w:val="AS-P(aa)"/>
    <w:basedOn w:val="Normal"/>
    <w:link w:val="AS-PaaChar"/>
    <w:rsid w:val="00ED2338"/>
    <w:pPr>
      <w:suppressAutoHyphens/>
      <w:ind w:left="2267" w:right="-7" w:hanging="566"/>
      <w:jc w:val="both"/>
    </w:pPr>
    <w:rPr>
      <w:rFonts w:eastAsia="Times New Roman" w:cs="Times New Roman"/>
    </w:rPr>
  </w:style>
  <w:style w:type="paragraph" w:customStyle="1" w:styleId="AS-P-Amend">
    <w:name w:val="AS-P-Amend"/>
    <w:link w:val="AS-P-AmendChar"/>
    <w:rsid w:val="00ED233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D2338"/>
    <w:rPr>
      <w:rFonts w:ascii="Times New Roman" w:eastAsia="Times New Roman" w:hAnsi="Times New Roman" w:cs="Times New Roman"/>
      <w:noProof/>
    </w:rPr>
  </w:style>
  <w:style w:type="character" w:customStyle="1" w:styleId="AS-P-AmendChar">
    <w:name w:val="AS-P-Amend Char"/>
    <w:basedOn w:val="AS-P0Char"/>
    <w:link w:val="AS-P-Amend"/>
    <w:rsid w:val="00ED2338"/>
    <w:rPr>
      <w:rFonts w:ascii="Arial" w:eastAsia="Times New Roman" w:hAnsi="Arial" w:cs="Arial"/>
      <w:b/>
      <w:noProof/>
      <w:color w:val="00B050"/>
      <w:sz w:val="18"/>
      <w:szCs w:val="18"/>
    </w:rPr>
  </w:style>
  <w:style w:type="paragraph" w:customStyle="1" w:styleId="AS-H1b">
    <w:name w:val="AS-H1b"/>
    <w:basedOn w:val="Normal"/>
    <w:link w:val="AS-H1bChar"/>
    <w:rsid w:val="00ED2338"/>
    <w:pPr>
      <w:jc w:val="center"/>
    </w:pPr>
    <w:rPr>
      <w:rFonts w:ascii="Arial" w:hAnsi="Arial" w:cs="Arial"/>
      <w:b/>
      <w:color w:val="000000"/>
      <w:sz w:val="24"/>
      <w:szCs w:val="24"/>
    </w:rPr>
  </w:style>
  <w:style w:type="character" w:customStyle="1" w:styleId="AS-H1bChar">
    <w:name w:val="AS-H1b Char"/>
    <w:basedOn w:val="AS-H2aChar"/>
    <w:link w:val="AS-H1b"/>
    <w:rsid w:val="00ED2338"/>
    <w:rPr>
      <w:rFonts w:ascii="Arial" w:hAnsi="Arial" w:cs="Arial"/>
      <w:b/>
      <w:noProof/>
      <w:color w:val="000000"/>
      <w:sz w:val="24"/>
      <w:szCs w:val="24"/>
    </w:rPr>
  </w:style>
  <w:style w:type="paragraph" w:customStyle="1" w:styleId="REG-H1b">
    <w:name w:val="REG-H1b"/>
    <w:link w:val="REG-H1bChar"/>
    <w:qFormat/>
    <w:rsid w:val="00ED233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D2338"/>
    <w:rPr>
      <w:rFonts w:ascii="Times New Roman" w:eastAsia="Times New Roman" w:hAnsi="Times New Roman"/>
      <w:b/>
      <w:bCs/>
      <w:noProof/>
    </w:rPr>
  </w:style>
  <w:style w:type="paragraph" w:customStyle="1" w:styleId="TableParagraph">
    <w:name w:val="Table Paragraph"/>
    <w:basedOn w:val="Normal"/>
    <w:uiPriority w:val="1"/>
    <w:rsid w:val="00ED2338"/>
  </w:style>
  <w:style w:type="table" w:customStyle="1" w:styleId="TableGrid0">
    <w:name w:val="TableGrid"/>
    <w:rsid w:val="00ED233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D233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D2338"/>
    <w:rPr>
      <w:rFonts w:ascii="Arial" w:hAnsi="Arial"/>
      <w:b/>
      <w:noProof/>
      <w:sz w:val="28"/>
      <w:szCs w:val="24"/>
    </w:rPr>
  </w:style>
  <w:style w:type="character" w:customStyle="1" w:styleId="REG-H1cChar">
    <w:name w:val="REG-H1c Char"/>
    <w:basedOn w:val="REG-H1bChar"/>
    <w:link w:val="REG-H1c"/>
    <w:rsid w:val="00ED2338"/>
    <w:rPr>
      <w:rFonts w:ascii="Arial" w:hAnsi="Arial"/>
      <w:b/>
      <w:noProof/>
      <w:sz w:val="24"/>
      <w:szCs w:val="24"/>
    </w:rPr>
  </w:style>
  <w:style w:type="paragraph" w:customStyle="1" w:styleId="REG-PHA">
    <w:name w:val="REG-PH(A)"/>
    <w:link w:val="REG-PHAChar"/>
    <w:qFormat/>
    <w:rsid w:val="00ED2338"/>
    <w:pPr>
      <w:spacing w:after="0" w:line="240" w:lineRule="auto"/>
      <w:jc w:val="center"/>
    </w:pPr>
    <w:rPr>
      <w:rFonts w:ascii="Arial" w:hAnsi="Arial"/>
      <w:b/>
      <w:caps/>
      <w:noProof/>
      <w:sz w:val="16"/>
      <w:szCs w:val="24"/>
    </w:rPr>
  </w:style>
  <w:style w:type="paragraph" w:customStyle="1" w:styleId="REG-PHb">
    <w:name w:val="REG-PH(b)"/>
    <w:link w:val="REG-PHbChar"/>
    <w:qFormat/>
    <w:rsid w:val="00ED233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D2338"/>
    <w:rPr>
      <w:rFonts w:ascii="Arial" w:hAnsi="Arial"/>
      <w:b/>
      <w:caps/>
      <w:noProof/>
      <w:sz w:val="16"/>
      <w:szCs w:val="24"/>
    </w:rPr>
  </w:style>
  <w:style w:type="character" w:customStyle="1" w:styleId="REG-PHbChar">
    <w:name w:val="REG-PH(b) Char"/>
    <w:basedOn w:val="REG-H1bChar"/>
    <w:link w:val="REG-PHb"/>
    <w:rsid w:val="00ED2338"/>
    <w:rPr>
      <w:rFonts w:ascii="Arial" w:hAnsi="Arial" w:cs="Arial"/>
      <w:b/>
      <w:noProof/>
      <w:sz w:val="16"/>
      <w:szCs w:val="16"/>
    </w:rPr>
  </w:style>
  <w:style w:type="character" w:styleId="Hyperlink">
    <w:name w:val="Hyperlink"/>
    <w:uiPriority w:val="99"/>
    <w:rsid w:val="00312031"/>
    <w:rPr>
      <w:rFonts w:ascii="Arial" w:hAnsi="Arial" w:cs="Times New Roman"/>
      <w:color w:val="00B050"/>
      <w:sz w:val="18"/>
      <w:u w:val="single"/>
    </w:rPr>
  </w:style>
  <w:style w:type="character" w:customStyle="1" w:styleId="Heading2Char">
    <w:name w:val="Heading 2 Char"/>
    <w:basedOn w:val="DefaultParagraphFont"/>
    <w:link w:val="Heading2"/>
    <w:uiPriority w:val="1"/>
    <w:rsid w:val="00B81E88"/>
    <w:rPr>
      <w:rFonts w:ascii="Times New Roman" w:eastAsiaTheme="majorEastAsia" w:hAnsi="Times New Roman" w:cstheme="majorBidi"/>
      <w:b/>
      <w:bCs/>
      <w:color w:val="000000" w:themeColor="text2" w:themeShade="80"/>
      <w:szCs w:val="26"/>
      <w:lang w:val="en-US" w:eastAsia="en-US"/>
    </w:rPr>
  </w:style>
  <w:style w:type="character" w:styleId="FollowedHyperlink">
    <w:name w:val="FollowedHyperlink"/>
    <w:basedOn w:val="DefaultParagraphFont"/>
    <w:uiPriority w:val="99"/>
    <w:semiHidden/>
    <w:unhideWhenUsed/>
    <w:rsid w:val="00312031"/>
    <w:rPr>
      <w:rFonts w:ascii="Arial" w:hAnsi="Arial"/>
      <w:color w:val="00B050"/>
      <w:sz w:val="18"/>
      <w:u w:val="single"/>
    </w:rPr>
  </w:style>
  <w:style w:type="paragraph" w:customStyle="1" w:styleId="Pa1">
    <w:name w:val="Pa1"/>
    <w:basedOn w:val="Normal"/>
    <w:next w:val="Normal"/>
    <w:uiPriority w:val="99"/>
    <w:rsid w:val="005D6FD6"/>
    <w:pPr>
      <w:autoSpaceDE w:val="0"/>
      <w:autoSpaceDN w:val="0"/>
      <w:adjustRightInd w:val="0"/>
      <w:spacing w:line="241" w:lineRule="atLeast"/>
    </w:pPr>
    <w:rPr>
      <w:rFonts w:cs="Times New Roman"/>
      <w:noProof w:val="0"/>
      <w:sz w:val="24"/>
      <w:szCs w:val="24"/>
    </w:rPr>
  </w:style>
  <w:style w:type="character" w:customStyle="1" w:styleId="A6">
    <w:name w:val="A6"/>
    <w:uiPriority w:val="99"/>
    <w:rsid w:val="005D6FD6"/>
    <w:rPr>
      <w:color w:val="221E1F"/>
      <w:sz w:val="20"/>
      <w:szCs w:val="20"/>
    </w:rPr>
  </w:style>
  <w:style w:type="paragraph" w:customStyle="1" w:styleId="Pa12">
    <w:name w:val="Pa12"/>
    <w:basedOn w:val="Normal"/>
    <w:next w:val="Normal"/>
    <w:uiPriority w:val="99"/>
    <w:rsid w:val="005D6FD6"/>
    <w:pPr>
      <w:autoSpaceDE w:val="0"/>
      <w:autoSpaceDN w:val="0"/>
      <w:adjustRightInd w:val="0"/>
      <w:spacing w:line="241" w:lineRule="atLeast"/>
    </w:pPr>
    <w:rPr>
      <w:rFonts w:cs="Times New Roman"/>
      <w:noProof w:val="0"/>
      <w:sz w:val="24"/>
      <w:szCs w:val="24"/>
    </w:rPr>
  </w:style>
  <w:style w:type="paragraph" w:customStyle="1" w:styleId="Pa4">
    <w:name w:val="Pa4"/>
    <w:basedOn w:val="Normal"/>
    <w:next w:val="Normal"/>
    <w:uiPriority w:val="99"/>
    <w:rsid w:val="00857942"/>
    <w:pPr>
      <w:autoSpaceDE w:val="0"/>
      <w:autoSpaceDN w:val="0"/>
      <w:adjustRightInd w:val="0"/>
      <w:spacing w:line="241" w:lineRule="atLeast"/>
    </w:pPr>
    <w:rPr>
      <w:rFonts w:cs="Times New Roman"/>
      <w:noProof w:val="0"/>
      <w:sz w:val="24"/>
      <w:szCs w:val="24"/>
      <w:lang/>
    </w:rPr>
  </w:style>
  <w:style w:type="paragraph" w:customStyle="1" w:styleId="Amend">
    <w:name w:val="Amend"/>
    <w:link w:val="AmendChar"/>
    <w:qFormat/>
    <w:rsid w:val="00ED2338"/>
    <w:pPr>
      <w:spacing w:after="0" w:line="240" w:lineRule="auto"/>
      <w:jc w:val="center"/>
    </w:pPr>
    <w:rPr>
      <w:rFonts w:ascii="Arial" w:eastAsia="Times New Roman" w:hAnsi="Arial" w:cs="Arial"/>
      <w:b/>
      <w:noProof/>
      <w:color w:val="00B050"/>
      <w:sz w:val="18"/>
      <w:szCs w:val="18"/>
    </w:rPr>
  </w:style>
  <w:style w:type="character" w:customStyle="1" w:styleId="AmendChar">
    <w:name w:val="Amend Char"/>
    <w:basedOn w:val="REG-P0Char"/>
    <w:link w:val="Amend"/>
    <w:rsid w:val="00ED2338"/>
    <w:rPr>
      <w:rFonts w:ascii="Arial" w:eastAsia="Times New Roman" w:hAnsi="Arial" w:cs="Arial"/>
      <w:b/>
      <w:noProof/>
      <w:color w:val="00B050"/>
      <w:sz w:val="18"/>
      <w:szCs w:val="18"/>
    </w:rPr>
  </w:style>
  <w:style w:type="paragraph" w:customStyle="1" w:styleId="AS-Amend">
    <w:name w:val="AS-Amend"/>
    <w:link w:val="AS-AmendChar"/>
    <w:autoRedefine/>
    <w:rsid w:val="00ED2338"/>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ED2338"/>
    <w:rPr>
      <w:rFonts w:ascii="Arial" w:eastAsia="Times New Roman" w:hAnsi="Arial" w:cs="Arial"/>
      <w:bCs/>
      <w:noProof/>
      <w:color w:val="00B050"/>
      <w:sz w:val="18"/>
      <w:szCs w:val="18"/>
    </w:rPr>
  </w:style>
  <w:style w:type="character" w:customStyle="1" w:styleId="AmendLkGr">
    <w:name w:val="AmendLkGr"/>
    <w:basedOn w:val="AS-AmendChar"/>
    <w:qFormat/>
    <w:rsid w:val="00ED2338"/>
    <w:rPr>
      <w:rFonts w:ascii="Arial" w:eastAsia="Times New Roman" w:hAnsi="Arial" w:cs="Arial"/>
      <w:b/>
      <w:bCs/>
      <w:noProof/>
      <w:color w:val="00B050"/>
      <w:sz w:val="18"/>
      <w:szCs w:val="18"/>
      <w:u w:val="single"/>
    </w:rPr>
  </w:style>
  <w:style w:type="paragraph" w:customStyle="1" w:styleId="AmndBlu">
    <w:name w:val="AmndBlu"/>
    <w:basedOn w:val="Normal"/>
    <w:link w:val="AmndBluChar"/>
    <w:qFormat/>
    <w:rsid w:val="00ED2338"/>
    <w:pPr>
      <w:jc w:val="center"/>
    </w:pPr>
    <w:rPr>
      <w:rFonts w:ascii="Arial" w:eastAsia="Times New Roman" w:hAnsi="Arial" w:cs="Arial"/>
      <w:b/>
      <w:color w:val="0070C0"/>
      <w:sz w:val="18"/>
      <w:szCs w:val="18"/>
    </w:rPr>
  </w:style>
  <w:style w:type="character" w:customStyle="1" w:styleId="AmndLkBl">
    <w:name w:val="AmndLkBl"/>
    <w:basedOn w:val="DefaultParagraphFont"/>
    <w:qFormat/>
    <w:rsid w:val="00ED2338"/>
    <w:rPr>
      <w:rFonts w:ascii="Arial" w:hAnsi="Arial"/>
      <w:b/>
      <w:noProof/>
      <w:color w:val="0070C0"/>
      <w:sz w:val="18"/>
      <w:u w:val="single" w:color="0070C0"/>
      <w:lang w:val="en-GB"/>
    </w:rPr>
  </w:style>
  <w:style w:type="character" w:customStyle="1" w:styleId="AmndBluChar">
    <w:name w:val="AmndBlu Char"/>
    <w:basedOn w:val="DefaultParagraphFont"/>
    <w:link w:val="AmndBlu"/>
    <w:rsid w:val="00ED2338"/>
    <w:rPr>
      <w:rFonts w:ascii="Arial" w:eastAsia="Times New Roman" w:hAnsi="Arial" w:cs="Arial"/>
      <w:b/>
      <w:noProof/>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5216">
      <w:bodyDiv w:val="1"/>
      <w:marLeft w:val="0"/>
      <w:marRight w:val="0"/>
      <w:marTop w:val="0"/>
      <w:marBottom w:val="0"/>
      <w:divBdr>
        <w:top w:val="none" w:sz="0" w:space="0" w:color="auto"/>
        <w:left w:val="none" w:sz="0" w:space="0" w:color="auto"/>
        <w:bottom w:val="none" w:sz="0" w:space="0" w:color="auto"/>
        <w:right w:val="none" w:sz="0" w:space="0" w:color="auto"/>
      </w:divBdr>
    </w:div>
    <w:div w:id="966005337">
      <w:bodyDiv w:val="1"/>
      <w:marLeft w:val="0"/>
      <w:marRight w:val="0"/>
      <w:marTop w:val="0"/>
      <w:marBottom w:val="0"/>
      <w:divBdr>
        <w:top w:val="none" w:sz="0" w:space="0" w:color="auto"/>
        <w:left w:val="none" w:sz="0" w:space="0" w:color="auto"/>
        <w:bottom w:val="none" w:sz="0" w:space="0" w:color="auto"/>
        <w:right w:val="none" w:sz="0" w:space="0" w:color="auto"/>
      </w:divBdr>
    </w:div>
    <w:div w:id="1153567333">
      <w:bodyDiv w:val="1"/>
      <w:marLeft w:val="0"/>
      <w:marRight w:val="0"/>
      <w:marTop w:val="0"/>
      <w:marBottom w:val="0"/>
      <w:divBdr>
        <w:top w:val="none" w:sz="0" w:space="0" w:color="auto"/>
        <w:left w:val="none" w:sz="0" w:space="0" w:color="auto"/>
        <w:bottom w:val="none" w:sz="0" w:space="0" w:color="auto"/>
        <w:right w:val="none" w:sz="0" w:space="0" w:color="auto"/>
      </w:divBdr>
    </w:div>
    <w:div w:id="1201166977">
      <w:bodyDiv w:val="1"/>
      <w:marLeft w:val="0"/>
      <w:marRight w:val="0"/>
      <w:marTop w:val="0"/>
      <w:marBottom w:val="0"/>
      <w:divBdr>
        <w:top w:val="none" w:sz="0" w:space="0" w:color="auto"/>
        <w:left w:val="none" w:sz="0" w:space="0" w:color="auto"/>
        <w:bottom w:val="none" w:sz="0" w:space="0" w:color="auto"/>
        <w:right w:val="none" w:sz="0" w:space="0" w:color="auto"/>
      </w:divBdr>
    </w:div>
    <w:div w:id="1431196397">
      <w:bodyDiv w:val="1"/>
      <w:marLeft w:val="0"/>
      <w:marRight w:val="0"/>
      <w:marTop w:val="0"/>
      <w:marBottom w:val="0"/>
      <w:divBdr>
        <w:top w:val="none" w:sz="0" w:space="0" w:color="auto"/>
        <w:left w:val="none" w:sz="0" w:space="0" w:color="auto"/>
        <w:bottom w:val="none" w:sz="0" w:space="0" w:color="auto"/>
        <w:right w:val="none" w:sz="0" w:space="0" w:color="auto"/>
      </w:divBdr>
    </w:div>
    <w:div w:id="1494679931">
      <w:bodyDiv w:val="1"/>
      <w:marLeft w:val="0"/>
      <w:marRight w:val="0"/>
      <w:marTop w:val="0"/>
      <w:marBottom w:val="0"/>
      <w:divBdr>
        <w:top w:val="none" w:sz="0" w:space="0" w:color="auto"/>
        <w:left w:val="none" w:sz="0" w:space="0" w:color="auto"/>
        <w:bottom w:val="none" w:sz="0" w:space="0" w:color="auto"/>
        <w:right w:val="none" w:sz="0" w:space="0" w:color="auto"/>
      </w:divBdr>
    </w:div>
    <w:div w:id="1666938337">
      <w:bodyDiv w:val="1"/>
      <w:marLeft w:val="0"/>
      <w:marRight w:val="0"/>
      <w:marTop w:val="0"/>
      <w:marBottom w:val="0"/>
      <w:divBdr>
        <w:top w:val="none" w:sz="0" w:space="0" w:color="auto"/>
        <w:left w:val="none" w:sz="0" w:space="0" w:color="auto"/>
        <w:bottom w:val="none" w:sz="0" w:space="0" w:color="auto"/>
        <w:right w:val="none" w:sz="0" w:space="0" w:color="auto"/>
      </w:divBdr>
    </w:div>
    <w:div w:id="2057074865">
      <w:bodyDiv w:val="1"/>
      <w:marLeft w:val="0"/>
      <w:marRight w:val="0"/>
      <w:marTop w:val="0"/>
      <w:marBottom w:val="0"/>
      <w:divBdr>
        <w:top w:val="none" w:sz="0" w:space="0" w:color="auto"/>
        <w:left w:val="none" w:sz="0" w:space="0" w:color="auto"/>
        <w:bottom w:val="none" w:sz="0" w:space="0" w:color="auto"/>
        <w:right w:val="none" w:sz="0" w:space="0" w:color="auto"/>
      </w:divBdr>
    </w:div>
    <w:div w:id="21466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9/688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3/825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17/6322.pdf" TargetMode="External"/><Relationship Id="rId4" Type="http://schemas.openxmlformats.org/officeDocument/2006/relationships/settings" Target="settings.xml"/><Relationship Id="rId9" Type="http://schemas.openxmlformats.org/officeDocument/2006/relationships/hyperlink" Target="http://www.lac.org.na/laws/2020/7359.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27Apr23.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A27FD-C9C2-4357-BD79-E154EB89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27Apr23.dotx</Template>
  <TotalTime>225</TotalTime>
  <Pages>30</Pages>
  <Words>11726</Words>
  <Characters>66842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Communications Act 8 of 2009-Regulations 2020-417</vt:lpstr>
    </vt:vector>
  </TitlesOfParts>
  <Company/>
  <LinksUpToDate>false</LinksUpToDate>
  <CharactersWithSpaces>78412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2020-417</dc:title>
  <dc:creator>LAC</dc:creator>
  <cp:lastModifiedBy>Dianne Hubbard</cp:lastModifiedBy>
  <cp:revision>32</cp:revision>
  <dcterms:created xsi:type="dcterms:W3CDTF">2020-11-06T15:39:00Z</dcterms:created>
  <dcterms:modified xsi:type="dcterms:W3CDTF">2024-01-13T09:20:00Z</dcterms:modified>
</cp:coreProperties>
</file>